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6B" w:rsidRDefault="006F376B" w:rsidP="006F376B">
      <w:pPr>
        <w:rPr>
          <w:rFonts w:ascii="Tahoma" w:hAnsi="Tahoma" w:cs="Tahoma"/>
          <w:b/>
          <w:bCs/>
          <w:color w:val="FF6600"/>
          <w:sz w:val="32"/>
        </w:rPr>
      </w:pPr>
      <w:r>
        <w:rPr>
          <w:rFonts w:ascii="Tahoma" w:hAnsi="Tahoma" w:cs="Tahoma"/>
          <w:b/>
          <w:bCs/>
          <w:color w:val="FF6600"/>
          <w:sz w:val="32"/>
        </w:rPr>
        <w:tab/>
      </w:r>
      <w:r>
        <w:rPr>
          <w:rFonts w:ascii="Tahoma" w:hAnsi="Tahoma" w:cs="Tahoma"/>
          <w:b/>
          <w:bCs/>
          <w:color w:val="FF6600"/>
          <w:sz w:val="32"/>
        </w:rPr>
        <w:tab/>
      </w:r>
    </w:p>
    <w:p w:rsidR="006F376B" w:rsidRDefault="006F376B" w:rsidP="006F376B">
      <w:pPr>
        <w:rPr>
          <w:rFonts w:cs="Tahoma"/>
          <w:b/>
          <w:bCs/>
          <w:color w:val="333399"/>
          <w:sz w:val="52"/>
        </w:rPr>
      </w:pPr>
    </w:p>
    <w:p w:rsidR="006F376B" w:rsidRDefault="006F376B" w:rsidP="006F376B">
      <w:pPr>
        <w:rPr>
          <w:rFonts w:cs="Tahoma"/>
          <w:b/>
          <w:bCs/>
          <w:color w:val="333399"/>
          <w:sz w:val="52"/>
        </w:rPr>
      </w:pPr>
    </w:p>
    <w:p w:rsidR="006F376B" w:rsidRPr="000B5690" w:rsidRDefault="006F376B" w:rsidP="006456A6">
      <w:pPr>
        <w:pStyle w:val="Heading3"/>
        <w:rPr>
          <w:sz w:val="44"/>
          <w:szCs w:val="44"/>
        </w:rPr>
      </w:pPr>
      <w:r w:rsidRPr="000B5690">
        <w:rPr>
          <w:sz w:val="44"/>
          <w:szCs w:val="44"/>
        </w:rPr>
        <w:t>ICBC TURKEY BANK A.Ş.</w:t>
      </w:r>
    </w:p>
    <w:p w:rsidR="006F376B" w:rsidRPr="000B5690" w:rsidRDefault="004A6C69" w:rsidP="006F376B">
      <w:pPr>
        <w:pStyle w:val="Heading1"/>
        <w:jc w:val="center"/>
        <w:rPr>
          <w:rFonts w:ascii="Tahoma" w:hAnsi="Tahoma" w:cs="Tahoma"/>
          <w:color w:val="FF0000"/>
          <w:sz w:val="44"/>
          <w:szCs w:val="44"/>
        </w:rPr>
      </w:pPr>
      <w:r>
        <w:rPr>
          <w:rFonts w:ascii="Tahoma" w:hAnsi="Tahoma" w:cs="Tahoma"/>
          <w:color w:val="FF0000"/>
          <w:sz w:val="44"/>
          <w:szCs w:val="44"/>
        </w:rPr>
        <w:t>202</w:t>
      </w:r>
      <w:r w:rsidR="00DA6596">
        <w:rPr>
          <w:rFonts w:ascii="Tahoma" w:hAnsi="Tahoma" w:cs="Tahoma"/>
          <w:color w:val="FF0000"/>
          <w:sz w:val="44"/>
          <w:szCs w:val="44"/>
        </w:rPr>
        <w:t>3</w:t>
      </w:r>
      <w:r w:rsidR="006F376B" w:rsidRPr="000B5690">
        <w:rPr>
          <w:rFonts w:ascii="Tahoma" w:hAnsi="Tahoma" w:cs="Tahoma"/>
          <w:color w:val="FF0000"/>
          <w:sz w:val="44"/>
          <w:szCs w:val="44"/>
        </w:rPr>
        <w:t xml:space="preserve"> YILI </w:t>
      </w:r>
      <w:r w:rsidR="0087094F">
        <w:rPr>
          <w:rFonts w:ascii="Tahoma" w:hAnsi="Tahoma" w:cs="Tahoma"/>
          <w:color w:val="FF0000"/>
          <w:sz w:val="44"/>
          <w:szCs w:val="44"/>
        </w:rPr>
        <w:t>II</w:t>
      </w:r>
      <w:r w:rsidR="006F376B" w:rsidRPr="000B5690">
        <w:rPr>
          <w:rFonts w:ascii="Tahoma" w:hAnsi="Tahoma" w:cs="Tahoma"/>
          <w:color w:val="FF0000"/>
          <w:sz w:val="44"/>
          <w:szCs w:val="44"/>
        </w:rPr>
        <w:t>. DÖNEM</w:t>
      </w:r>
    </w:p>
    <w:p w:rsidR="006F376B" w:rsidRPr="000B5690" w:rsidRDefault="006F376B" w:rsidP="006F376B">
      <w:pPr>
        <w:pStyle w:val="Heading1"/>
        <w:jc w:val="center"/>
        <w:rPr>
          <w:rFonts w:ascii="Tahoma" w:hAnsi="Tahoma" w:cs="Tahoma"/>
          <w:color w:val="FF0000"/>
          <w:sz w:val="44"/>
          <w:szCs w:val="44"/>
        </w:rPr>
      </w:pPr>
      <w:r w:rsidRPr="000B5690">
        <w:rPr>
          <w:rFonts w:ascii="Tahoma" w:hAnsi="Tahoma" w:cs="Tahoma"/>
          <w:color w:val="FF0000"/>
          <w:sz w:val="44"/>
          <w:szCs w:val="44"/>
        </w:rPr>
        <w:t>KONSOLİDE FAALİYET RAPORU</w:t>
      </w:r>
    </w:p>
    <w:p w:rsidR="006F376B" w:rsidRPr="000B5690" w:rsidRDefault="006F376B" w:rsidP="006F376B">
      <w:pPr>
        <w:jc w:val="center"/>
        <w:rPr>
          <w:rFonts w:ascii="Tahoma" w:hAnsi="Tahoma" w:cs="Tahoma"/>
          <w:b/>
          <w:bCs/>
          <w:color w:val="FF6600"/>
          <w:sz w:val="32"/>
        </w:rPr>
      </w:pPr>
    </w:p>
    <w:p w:rsidR="006F376B" w:rsidRPr="001606CE" w:rsidRDefault="006F376B" w:rsidP="006F376B">
      <w:pPr>
        <w:jc w:val="center"/>
        <w:rPr>
          <w:rFonts w:ascii="Tahoma" w:hAnsi="Tahoma" w:cs="Tahoma"/>
          <w:b/>
          <w:bCs/>
          <w:color w:val="FF6600"/>
          <w:sz w:val="32"/>
          <w:highlight w:val="green"/>
        </w:rPr>
      </w:pPr>
    </w:p>
    <w:p w:rsidR="006F376B" w:rsidRPr="001606CE" w:rsidRDefault="006F376B" w:rsidP="006F376B">
      <w:pPr>
        <w:rPr>
          <w:rFonts w:ascii="Tahoma" w:hAnsi="Tahoma" w:cs="Tahoma"/>
          <w:b/>
          <w:bCs/>
          <w:color w:val="FF6600"/>
          <w:sz w:val="32"/>
          <w:highlight w:val="green"/>
        </w:rPr>
      </w:pPr>
    </w:p>
    <w:p w:rsidR="006F376B" w:rsidRPr="000F39AE" w:rsidRDefault="006F376B" w:rsidP="006F376B">
      <w:pPr>
        <w:jc w:val="center"/>
        <w:rPr>
          <w:rFonts w:ascii="Tahoma" w:hAnsi="Tahoma" w:cs="Tahoma"/>
          <w:b/>
          <w:bCs/>
          <w:color w:val="FF6600"/>
          <w:sz w:val="32"/>
        </w:rPr>
      </w:pPr>
    </w:p>
    <w:p w:rsidR="006F376B" w:rsidRPr="000F39AE" w:rsidRDefault="006F376B" w:rsidP="006F376B">
      <w:pPr>
        <w:rPr>
          <w:rFonts w:ascii="Tahoma" w:hAnsi="Tahoma" w:cs="Tahoma"/>
          <w:b/>
          <w:bCs/>
        </w:rPr>
      </w:pPr>
    </w:p>
    <w:p w:rsidR="006F376B" w:rsidRPr="000F39AE" w:rsidRDefault="006F376B" w:rsidP="006F376B">
      <w:pPr>
        <w:keepNext/>
        <w:spacing w:before="360" w:after="360"/>
        <w:outlineLvl w:val="0"/>
        <w:rPr>
          <w:b/>
          <w:bCs/>
          <w:color w:val="FF0000"/>
          <w:sz w:val="28"/>
        </w:rPr>
      </w:pPr>
      <w:r w:rsidRPr="000F39AE">
        <w:rPr>
          <w:b/>
          <w:bCs/>
          <w:color w:val="FF0000"/>
          <w:sz w:val="28"/>
        </w:rPr>
        <w:t xml:space="preserve">BANKA İLETİŞİM BİLGİLERİ </w:t>
      </w:r>
    </w:p>
    <w:p w:rsidR="006F376B" w:rsidRPr="000B5690" w:rsidRDefault="006F376B" w:rsidP="006F376B">
      <w:pPr>
        <w:spacing w:before="0" w:after="0"/>
        <w:jc w:val="both"/>
        <w:rPr>
          <w:rFonts w:cs="StagSans-Light"/>
          <w:color w:val="3C3C3B"/>
          <w:sz w:val="24"/>
          <w:lang w:eastAsia="tr-TR"/>
        </w:rPr>
      </w:pPr>
      <w:r w:rsidRPr="000B5690">
        <w:rPr>
          <w:rFonts w:cs="StagSans-Light"/>
          <w:color w:val="3C3C3B"/>
          <w:sz w:val="24"/>
          <w:lang w:eastAsia="tr-TR"/>
        </w:rPr>
        <w:t>ICBC Turkey Bank Anonim Şirketi (ICBC Turkey) Türkiye’de yabancı sermayeli mevduat bankası olarak faaliyet göstermektedir. Şubelerimize ve temsilciliğimize ilişkin iletişim bilgilerine, Bankamız internet sitesi “Bize Ul</w:t>
      </w:r>
      <w:r>
        <w:rPr>
          <w:rFonts w:cs="StagSans-Light"/>
          <w:color w:val="3C3C3B"/>
          <w:sz w:val="24"/>
          <w:lang w:eastAsia="tr-TR"/>
        </w:rPr>
        <w:t>aşın” bölümü altında “Şubeler”,</w:t>
      </w:r>
      <w:r w:rsidRPr="000B5690">
        <w:rPr>
          <w:rFonts w:cs="StagSans-Light"/>
          <w:color w:val="3C3C3B"/>
          <w:sz w:val="24"/>
          <w:lang w:eastAsia="tr-TR"/>
        </w:rPr>
        <w:t xml:space="preserve"> “ATM” başlıkları </w:t>
      </w:r>
      <w:r w:rsidR="00146DD9">
        <w:rPr>
          <w:rFonts w:cs="StagSans-Light"/>
          <w:color w:val="3C3C3B"/>
          <w:sz w:val="24"/>
          <w:lang w:eastAsia="tr-TR"/>
        </w:rPr>
        <w:t xml:space="preserve"> </w:t>
      </w:r>
      <w:r w:rsidRPr="000B5690">
        <w:rPr>
          <w:rFonts w:cs="StagSans-Light"/>
          <w:color w:val="3C3C3B"/>
          <w:sz w:val="24"/>
          <w:lang w:eastAsia="tr-TR"/>
        </w:rPr>
        <w:t xml:space="preserve">altından ulaşılabilmektedir. </w:t>
      </w:r>
    </w:p>
    <w:p w:rsidR="006F376B" w:rsidRPr="000B5690" w:rsidRDefault="006F376B" w:rsidP="006F376B">
      <w:pPr>
        <w:spacing w:before="0" w:after="0"/>
        <w:rPr>
          <w:rFonts w:cs="StagSans-Light"/>
          <w:color w:val="3C3C3B"/>
          <w:sz w:val="24"/>
          <w:lang w:eastAsia="tr-TR"/>
        </w:rPr>
      </w:pPr>
    </w:p>
    <w:tbl>
      <w:tblPr>
        <w:tblW w:w="0" w:type="auto"/>
        <w:tblBorders>
          <w:top w:val="single" w:sz="4" w:space="0" w:color="auto"/>
          <w:bottom w:val="double" w:sz="6" w:space="0" w:color="auto"/>
        </w:tblBorders>
        <w:tblLayout w:type="fixed"/>
        <w:tblLook w:val="0000" w:firstRow="0" w:lastRow="0" w:firstColumn="0" w:lastColumn="0" w:noHBand="0" w:noVBand="0"/>
      </w:tblPr>
      <w:tblGrid>
        <w:gridCol w:w="4428"/>
        <w:gridCol w:w="360"/>
        <w:gridCol w:w="3780"/>
      </w:tblGrid>
      <w:tr w:rsidR="006F376B" w:rsidRPr="000B5690" w:rsidTr="00CA2772">
        <w:tc>
          <w:tcPr>
            <w:tcW w:w="4428" w:type="dxa"/>
          </w:tcPr>
          <w:p w:rsidR="006F376B" w:rsidRPr="00324815" w:rsidRDefault="006F376B" w:rsidP="00CA2772">
            <w:pPr>
              <w:keepNext/>
              <w:spacing w:before="0" w:after="0"/>
              <w:outlineLvl w:val="1"/>
              <w:rPr>
                <w:rFonts w:cs="Tahoma"/>
                <w:b/>
                <w:bCs/>
                <w:color w:val="auto"/>
                <w:sz w:val="20"/>
                <w:szCs w:val="20"/>
              </w:rPr>
            </w:pPr>
            <w:r w:rsidRPr="00324815">
              <w:rPr>
                <w:rFonts w:cs="Tahoma"/>
                <w:b/>
                <w:bCs/>
                <w:color w:val="auto"/>
                <w:sz w:val="20"/>
                <w:szCs w:val="20"/>
              </w:rPr>
              <w:t>Raporun Ait Olduğu Dönem</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DA6596">
            <w:pPr>
              <w:spacing w:before="0" w:after="0"/>
              <w:rPr>
                <w:rFonts w:cs="Tahoma"/>
                <w:bCs/>
                <w:sz w:val="20"/>
                <w:szCs w:val="20"/>
              </w:rPr>
            </w:pPr>
            <w:r>
              <w:rPr>
                <w:rFonts w:cs="Tahoma"/>
                <w:bCs/>
                <w:sz w:val="20"/>
                <w:szCs w:val="20"/>
              </w:rPr>
              <w:t>01.01</w:t>
            </w:r>
            <w:r w:rsidR="008E1CB7">
              <w:rPr>
                <w:rFonts w:cs="Tahoma"/>
                <w:bCs/>
                <w:sz w:val="20"/>
                <w:szCs w:val="20"/>
              </w:rPr>
              <w:t>.202</w:t>
            </w:r>
            <w:r w:rsidR="00DA6596">
              <w:rPr>
                <w:rFonts w:cs="Tahoma"/>
                <w:bCs/>
                <w:sz w:val="20"/>
                <w:szCs w:val="20"/>
              </w:rPr>
              <w:t>3</w:t>
            </w:r>
            <w:r w:rsidR="004A6C69">
              <w:rPr>
                <w:rFonts w:cs="Tahoma"/>
                <w:bCs/>
                <w:sz w:val="20"/>
                <w:szCs w:val="20"/>
              </w:rPr>
              <w:t xml:space="preserve"> – 3</w:t>
            </w:r>
            <w:r w:rsidR="0087094F">
              <w:rPr>
                <w:rFonts w:cs="Tahoma"/>
                <w:bCs/>
                <w:sz w:val="20"/>
                <w:szCs w:val="20"/>
              </w:rPr>
              <w:t>0</w:t>
            </w:r>
            <w:r w:rsidR="004A6C69">
              <w:rPr>
                <w:rFonts w:cs="Tahoma"/>
                <w:bCs/>
                <w:sz w:val="20"/>
                <w:szCs w:val="20"/>
              </w:rPr>
              <w:t>.0</w:t>
            </w:r>
            <w:r w:rsidR="0087094F">
              <w:rPr>
                <w:rFonts w:cs="Tahoma"/>
                <w:bCs/>
                <w:sz w:val="20"/>
                <w:szCs w:val="20"/>
              </w:rPr>
              <w:t>6</w:t>
            </w:r>
            <w:r>
              <w:rPr>
                <w:rFonts w:cs="Tahoma"/>
                <w:bCs/>
                <w:sz w:val="20"/>
                <w:szCs w:val="20"/>
              </w:rPr>
              <w:t>.202</w:t>
            </w:r>
            <w:r w:rsidR="00DA6596">
              <w:rPr>
                <w:rFonts w:cs="Tahoma"/>
                <w:bCs/>
                <w:sz w:val="20"/>
                <w:szCs w:val="20"/>
              </w:rPr>
              <w:t>3</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Bankanın Ticaret Unvanı</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ICBC Turkey Bank A.Ş.</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Rapor Para Birimi</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Tüm tutarlar aksi belirtilmediği müddetçe Bin TL olarak verilmiştir.</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Bankanın Ticaret Sicil Numarası</w:t>
            </w:r>
          </w:p>
        </w:tc>
        <w:tc>
          <w:tcPr>
            <w:tcW w:w="360" w:type="dxa"/>
          </w:tcPr>
          <w:p w:rsidR="006F376B" w:rsidRPr="000B5690" w:rsidRDefault="006F376B" w:rsidP="00CA2772">
            <w:pPr>
              <w:spacing w:before="0" w:after="0"/>
              <w:rPr>
                <w:rFonts w:cs="Tahoma"/>
                <w:b/>
                <w:bCs/>
                <w:sz w:val="20"/>
                <w:szCs w:val="20"/>
              </w:rPr>
            </w:pP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224058 – İstanbul Ticaret Odası</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Genel Müdürlük Adresi</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Maslak Mah. Dereboyu/2 Cad. No:13 34398 Sarıyer - İstanbul</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Genel Müdürlük Telefonu</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0212 335 53 35</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Genel Müdürlük Faks Numarası</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0212 328 13 28</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İnternet Sitesi Adresi</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980494" w:rsidP="00CA2772">
            <w:pPr>
              <w:spacing w:before="0" w:after="0"/>
              <w:rPr>
                <w:rFonts w:cs="Tahoma"/>
                <w:bCs/>
                <w:sz w:val="20"/>
                <w:szCs w:val="20"/>
              </w:rPr>
            </w:pPr>
            <w:hyperlink r:id="rId9" w:history="1">
              <w:r w:rsidR="006F376B" w:rsidRPr="000B5690">
                <w:rPr>
                  <w:rFonts w:cs="Tahoma"/>
                  <w:bCs/>
                  <w:color w:val="0000FF"/>
                  <w:sz w:val="20"/>
                  <w:szCs w:val="20"/>
                  <w:u w:val="single"/>
                </w:rPr>
                <w:t>www.icbc.com.tr</w:t>
              </w:r>
            </w:hyperlink>
          </w:p>
        </w:tc>
      </w:tr>
      <w:tr w:rsidR="006F376B" w:rsidRPr="006960A5"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 xml:space="preserve">Elektronik posta </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info@icbc.com.tr</w:t>
            </w:r>
          </w:p>
        </w:tc>
      </w:tr>
    </w:tbl>
    <w:p w:rsidR="006F376B" w:rsidRPr="006960A5" w:rsidRDefault="006F376B" w:rsidP="006F376B">
      <w:pPr>
        <w:jc w:val="both"/>
        <w:rPr>
          <w:color w:val="auto"/>
        </w:rPr>
      </w:pPr>
    </w:p>
    <w:p w:rsidR="00497198" w:rsidRDefault="00497198" w:rsidP="006F376B">
      <w:pPr>
        <w:pStyle w:val="Heading1"/>
        <w:jc w:val="center"/>
      </w:pPr>
    </w:p>
    <w:p w:rsidR="006F376B" w:rsidRPr="000B5690" w:rsidRDefault="006F376B" w:rsidP="006F376B">
      <w:pPr>
        <w:pStyle w:val="Heading1"/>
        <w:jc w:val="center"/>
      </w:pPr>
      <w:r w:rsidRPr="000B5690">
        <w:t>SERMAYE PİYASASI KURULU’NUN</w:t>
      </w:r>
    </w:p>
    <w:p w:rsidR="006F376B" w:rsidRPr="000B5690" w:rsidRDefault="006F376B" w:rsidP="006F376B">
      <w:pPr>
        <w:pStyle w:val="Heading1"/>
        <w:spacing w:before="0" w:after="0"/>
        <w:jc w:val="center"/>
      </w:pPr>
      <w:r w:rsidRPr="000B5690">
        <w:t xml:space="preserve">SERMAYE PİYASASINDA FİNANSAL RAPORLAMAYA İLİŞKİN ESASLAR TEBLİĞİ (II-14.1) </w:t>
      </w:r>
    </w:p>
    <w:p w:rsidR="006F376B" w:rsidRPr="000B5690" w:rsidRDefault="006F376B" w:rsidP="006F376B">
      <w:pPr>
        <w:pStyle w:val="Heading1"/>
        <w:spacing w:before="0" w:after="0"/>
        <w:jc w:val="center"/>
      </w:pPr>
      <w:r w:rsidRPr="000B5690">
        <w:t>İKİNCİ BÖLÜMÜNÜN 9. MADDESİ GEREĞİNCE</w:t>
      </w:r>
    </w:p>
    <w:p w:rsidR="006F376B" w:rsidRPr="000B5690" w:rsidRDefault="006F376B" w:rsidP="006F376B">
      <w:pPr>
        <w:pStyle w:val="Heading1"/>
        <w:spacing w:before="0" w:after="0"/>
        <w:jc w:val="center"/>
      </w:pPr>
      <w:r w:rsidRPr="000B5690">
        <w:t>KONSOLİDE SORUMLULUK BEYANI</w:t>
      </w:r>
    </w:p>
    <w:p w:rsidR="006F376B" w:rsidRPr="000B5690" w:rsidRDefault="006F376B" w:rsidP="006F376B">
      <w:pPr>
        <w:jc w:val="both"/>
        <w:rPr>
          <w:rFonts w:ascii="Tahoma" w:hAnsi="Tahoma" w:cs="Tahoma"/>
          <w:b/>
          <w:bCs/>
          <w:color w:val="99CCFF"/>
        </w:rPr>
      </w:pPr>
    </w:p>
    <w:p w:rsidR="006F376B" w:rsidRPr="000B5690" w:rsidRDefault="006F376B" w:rsidP="006F376B">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r w:rsidRPr="000B5690">
        <w:t xml:space="preserve">Bankamız ICBC Turkey Bank A.Ş.’nin </w:t>
      </w:r>
      <w:r w:rsidR="004A6C69">
        <w:t>3</w:t>
      </w:r>
      <w:r w:rsidR="0087094F">
        <w:t>0</w:t>
      </w:r>
      <w:r w:rsidR="002B39AD">
        <w:t xml:space="preserve"> </w:t>
      </w:r>
      <w:r w:rsidR="0087094F">
        <w:t>Haziran</w:t>
      </w:r>
      <w:r w:rsidR="004A6C69">
        <w:t xml:space="preserve"> 202</w:t>
      </w:r>
      <w:r w:rsidR="00DA6596">
        <w:t>3</w:t>
      </w:r>
      <w:r w:rsidRPr="000B5690">
        <w:t xml:space="preserve"> tarihinde sona eren ara döneme ait konsolide finansal tabloları ve konsolide faaliyet raporu tarafımızca incelenmiştir.</w:t>
      </w:r>
    </w:p>
    <w:p w:rsidR="006F376B" w:rsidRPr="000B5690" w:rsidRDefault="006F376B" w:rsidP="006F376B">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r w:rsidRPr="000B5690">
        <w:t>İşletmedeki görev ve sorumluluk alanlarımızda sahip olduğumuz bilgiler çerçevesinde, konsolide ara dönem finansal tablolar ve konsolide faaliyet raporu önemli konularda gerçeğe aykırı bir açıklama veya açıklamanın yapıldığı tarih itibarıyla yanıltıcı olması sonucunu doğurabilecek herhangi bir eksiklik içermemektedir.</w:t>
      </w:r>
    </w:p>
    <w:p w:rsidR="006F376B" w:rsidRPr="000B5690" w:rsidRDefault="006F376B" w:rsidP="006F376B">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r w:rsidRPr="000B5690">
        <w:t>İşletmedeki görev ve sorumluluk alanlarımızda sahip olduğumuz bilgiler çerçevesinde, konsolide ara dönem finansal tablolar, Bankamız’ın, konsolidasyon kapsamındakilerle birlikte, aktifleri, pasifleri, finansal durumu ve kâr ve zararı ile ilgili gerçeği dürüst bir biçimde yansıtmakta ve konsolide faaliyet raporu işin gelişimi ve performansını ve konsolidasyon kapsamındakilerle birlikte</w:t>
      </w:r>
      <w:r>
        <w:t xml:space="preserve"> Bankamız’ın finansal durumunu, </w:t>
      </w:r>
      <w:r w:rsidRPr="000B5690">
        <w:t>dürüstçe yansıtmaktadır.</w:t>
      </w:r>
    </w:p>
    <w:p w:rsidR="00D55492" w:rsidRDefault="006F376B"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rPr>
          <w:rFonts w:eastAsia="Arial Unicode MS" w:cs="Tahoma"/>
          <w:szCs w:val="22"/>
        </w:rPr>
      </w:pPr>
      <w:r w:rsidRPr="000B5690">
        <w:rPr>
          <w:rFonts w:eastAsia="Arial Unicode MS" w:cs="Tahoma"/>
          <w:szCs w:val="22"/>
        </w:rPr>
        <w:t>Saygılarımızla,</w:t>
      </w:r>
    </w:p>
    <w:p w:rsidR="00D55492" w:rsidRDefault="00D55492"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rPr>
          <w:rFonts w:eastAsia="Arial Unicode MS" w:cs="Tahoma"/>
          <w:szCs w:val="22"/>
        </w:rPr>
      </w:pPr>
    </w:p>
    <w:tbl>
      <w:tblPr>
        <w:tblW w:w="3202" w:type="dxa"/>
        <w:tblInd w:w="3229" w:type="dxa"/>
        <w:tblCellMar>
          <w:left w:w="70" w:type="dxa"/>
          <w:right w:w="70" w:type="dxa"/>
        </w:tblCellMar>
        <w:tblLook w:val="0000" w:firstRow="0" w:lastRow="0" w:firstColumn="0" w:lastColumn="0" w:noHBand="0" w:noVBand="0"/>
      </w:tblPr>
      <w:tblGrid>
        <w:gridCol w:w="3202"/>
      </w:tblGrid>
      <w:tr w:rsidR="006F376B" w:rsidRPr="00A5538C" w:rsidTr="00CA2772">
        <w:trPr>
          <w:trHeight w:val="347"/>
        </w:trPr>
        <w:tc>
          <w:tcPr>
            <w:tcW w:w="3202" w:type="dxa"/>
            <w:tcBorders>
              <w:top w:val="nil"/>
              <w:left w:val="nil"/>
              <w:bottom w:val="single" w:sz="8" w:space="0" w:color="auto"/>
              <w:right w:val="nil"/>
            </w:tcBorders>
            <w:noWrap/>
            <w:vAlign w:val="bottom"/>
          </w:tcPr>
          <w:p w:rsidR="006F376B" w:rsidRPr="00A5538C" w:rsidRDefault="006F376B" w:rsidP="00D55492">
            <w:pPr>
              <w:rPr>
                <w:sz w:val="21"/>
                <w:szCs w:val="21"/>
              </w:rPr>
            </w:pPr>
          </w:p>
        </w:tc>
      </w:tr>
      <w:tr w:rsidR="006F376B" w:rsidRPr="00ED0943" w:rsidTr="00CA2772">
        <w:trPr>
          <w:trHeight w:val="228"/>
        </w:trPr>
        <w:tc>
          <w:tcPr>
            <w:tcW w:w="3202" w:type="dxa"/>
            <w:tcBorders>
              <w:top w:val="nil"/>
              <w:left w:val="nil"/>
              <w:bottom w:val="nil"/>
              <w:right w:val="nil"/>
            </w:tcBorders>
            <w:noWrap/>
            <w:vAlign w:val="bottom"/>
          </w:tcPr>
          <w:p w:rsidR="006F376B" w:rsidRPr="00ED0943"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1"/>
                <w:szCs w:val="21"/>
              </w:rPr>
            </w:pPr>
            <w:r>
              <w:rPr>
                <w:sz w:val="21"/>
                <w:szCs w:val="21"/>
              </w:rPr>
              <w:t>XIANGYANG GAO</w:t>
            </w:r>
          </w:p>
        </w:tc>
      </w:tr>
      <w:tr w:rsidR="006F376B" w:rsidRPr="00ED0943" w:rsidTr="00CA2772">
        <w:trPr>
          <w:trHeight w:val="228"/>
        </w:trPr>
        <w:tc>
          <w:tcPr>
            <w:tcW w:w="3202" w:type="dxa"/>
            <w:tcBorders>
              <w:top w:val="nil"/>
              <w:left w:val="nil"/>
              <w:bottom w:val="nil"/>
              <w:right w:val="nil"/>
            </w:tcBorders>
            <w:noWrap/>
          </w:tcPr>
          <w:p w:rsidR="006F376B" w:rsidRPr="00ED0943"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1"/>
                <w:szCs w:val="21"/>
              </w:rPr>
            </w:pPr>
            <w:r>
              <w:rPr>
                <w:sz w:val="21"/>
                <w:szCs w:val="21"/>
              </w:rPr>
              <w:t>Yönetim Kurulu Başkanı</w:t>
            </w:r>
          </w:p>
        </w:tc>
      </w:tr>
    </w:tbl>
    <w:p w:rsidR="006F376B" w:rsidRPr="00D605FE" w:rsidRDefault="006F376B" w:rsidP="006F376B">
      <w:pPr>
        <w:spacing w:before="0" w:after="0"/>
        <w:rPr>
          <w:vanish/>
        </w:rPr>
      </w:pPr>
    </w:p>
    <w:tbl>
      <w:tblPr>
        <w:tblpPr w:leftFromText="141" w:rightFromText="141" w:vertAnchor="text" w:horzAnchor="margin" w:tblpXSpec="center" w:tblpY="190"/>
        <w:tblW w:w="7329" w:type="dxa"/>
        <w:tblCellMar>
          <w:left w:w="70" w:type="dxa"/>
          <w:right w:w="70" w:type="dxa"/>
        </w:tblCellMar>
        <w:tblLook w:val="0000" w:firstRow="0" w:lastRow="0" w:firstColumn="0" w:lastColumn="0" w:noHBand="0" w:noVBand="0"/>
      </w:tblPr>
      <w:tblGrid>
        <w:gridCol w:w="2988"/>
        <w:gridCol w:w="1498"/>
        <w:gridCol w:w="2697"/>
        <w:gridCol w:w="146"/>
      </w:tblGrid>
      <w:tr w:rsidR="006F376B" w:rsidRPr="00742397" w:rsidTr="00CA2772">
        <w:trPr>
          <w:gridAfter w:val="1"/>
          <w:wAfter w:w="146" w:type="dxa"/>
          <w:trHeight w:val="299"/>
        </w:trPr>
        <w:tc>
          <w:tcPr>
            <w:tcW w:w="2988" w:type="dxa"/>
            <w:tcBorders>
              <w:left w:val="nil"/>
              <w:bottom w:val="single" w:sz="8" w:space="0" w:color="auto"/>
              <w:right w:val="nil"/>
            </w:tcBorders>
            <w:noWrap/>
            <w:vAlign w:val="bottom"/>
          </w:tcPr>
          <w:p w:rsidR="006F376B" w:rsidRDefault="006F376B" w:rsidP="00CA2772">
            <w:pPr>
              <w:jc w:val="center"/>
              <w:rPr>
                <w:sz w:val="20"/>
                <w:szCs w:val="20"/>
              </w:rPr>
            </w:pPr>
          </w:p>
          <w:p w:rsidR="00D55492" w:rsidRDefault="00D55492" w:rsidP="00D55492">
            <w:pPr>
              <w:rPr>
                <w:sz w:val="20"/>
                <w:szCs w:val="20"/>
              </w:rPr>
            </w:pPr>
          </w:p>
          <w:p w:rsidR="00E47B25" w:rsidRPr="00742397" w:rsidRDefault="00E47B25" w:rsidP="00CA2772">
            <w:pPr>
              <w:jc w:val="center"/>
              <w:rPr>
                <w:sz w:val="20"/>
                <w:szCs w:val="20"/>
              </w:rPr>
            </w:pPr>
          </w:p>
        </w:tc>
        <w:tc>
          <w:tcPr>
            <w:tcW w:w="1498" w:type="dxa"/>
            <w:tcBorders>
              <w:top w:val="nil"/>
              <w:left w:val="nil"/>
              <w:bottom w:val="nil"/>
              <w:right w:val="nil"/>
            </w:tcBorders>
            <w:noWrap/>
            <w:vAlign w:val="bottom"/>
          </w:tcPr>
          <w:p w:rsidR="006F376B" w:rsidRPr="00742397" w:rsidRDefault="006F376B" w:rsidP="00CA2772">
            <w:pPr>
              <w:jc w:val="center"/>
              <w:rPr>
                <w:sz w:val="20"/>
                <w:szCs w:val="20"/>
              </w:rPr>
            </w:pPr>
          </w:p>
        </w:tc>
        <w:tc>
          <w:tcPr>
            <w:tcW w:w="2697" w:type="dxa"/>
            <w:tcBorders>
              <w:left w:val="nil"/>
              <w:bottom w:val="single" w:sz="8" w:space="0" w:color="auto"/>
              <w:right w:val="nil"/>
            </w:tcBorders>
            <w:noWrap/>
            <w:vAlign w:val="bottom"/>
          </w:tcPr>
          <w:p w:rsidR="006F376B" w:rsidRPr="00742397" w:rsidRDefault="006F376B" w:rsidP="00CA2772">
            <w:pPr>
              <w:jc w:val="center"/>
              <w:rPr>
                <w:sz w:val="20"/>
                <w:szCs w:val="20"/>
              </w:rPr>
            </w:pPr>
          </w:p>
        </w:tc>
      </w:tr>
      <w:tr w:rsidR="006F376B" w:rsidRPr="00742397" w:rsidTr="00CA2772">
        <w:trPr>
          <w:trHeight w:val="282"/>
        </w:trPr>
        <w:tc>
          <w:tcPr>
            <w:tcW w:w="2988" w:type="dxa"/>
            <w:tcBorders>
              <w:top w:val="nil"/>
              <w:left w:val="nil"/>
              <w:bottom w:val="nil"/>
              <w:right w:val="nil"/>
            </w:tcBorders>
            <w:noWrap/>
            <w:vAlign w:val="bottom"/>
          </w:tcPr>
          <w:p w:rsidR="006F376B" w:rsidRPr="00ED0943"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1"/>
                <w:szCs w:val="21"/>
              </w:rPr>
            </w:pPr>
            <w:r>
              <w:rPr>
                <w:sz w:val="21"/>
                <w:szCs w:val="21"/>
              </w:rPr>
              <w:t>PEIGUO LIU</w:t>
            </w:r>
          </w:p>
        </w:tc>
        <w:tc>
          <w:tcPr>
            <w:tcW w:w="1498" w:type="dxa"/>
            <w:tcBorders>
              <w:top w:val="nil"/>
              <w:left w:val="nil"/>
              <w:bottom w:val="nil"/>
              <w:right w:val="nil"/>
            </w:tcBorders>
            <w:noWrap/>
            <w:vAlign w:val="bottom"/>
          </w:tcPr>
          <w:p w:rsidR="006F376B" w:rsidRPr="00742397"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p>
        </w:tc>
        <w:tc>
          <w:tcPr>
            <w:tcW w:w="2843" w:type="dxa"/>
            <w:gridSpan w:val="2"/>
            <w:tcBorders>
              <w:top w:val="nil"/>
              <w:left w:val="nil"/>
              <w:bottom w:val="nil"/>
              <w:right w:val="nil"/>
            </w:tcBorders>
            <w:noWrap/>
            <w:vAlign w:val="bottom"/>
          </w:tcPr>
          <w:p w:rsidR="006F376B" w:rsidRPr="00742397" w:rsidRDefault="0087094F" w:rsidP="00497198">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r>
              <w:rPr>
                <w:sz w:val="20"/>
                <w:szCs w:val="20"/>
              </w:rPr>
              <w:t>CHUNYI ZHENG</w:t>
            </w:r>
          </w:p>
        </w:tc>
      </w:tr>
      <w:tr w:rsidR="006F376B" w:rsidRPr="00742397" w:rsidTr="00CA2772">
        <w:trPr>
          <w:trHeight w:val="282"/>
        </w:trPr>
        <w:tc>
          <w:tcPr>
            <w:tcW w:w="2988" w:type="dxa"/>
            <w:tcBorders>
              <w:top w:val="nil"/>
              <w:left w:val="nil"/>
              <w:bottom w:val="nil"/>
              <w:right w:val="nil"/>
            </w:tcBorders>
            <w:noWrap/>
          </w:tcPr>
          <w:p w:rsidR="006F376B" w:rsidRPr="00ED0943"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1"/>
                <w:szCs w:val="21"/>
              </w:rPr>
            </w:pPr>
            <w:r>
              <w:rPr>
                <w:sz w:val="21"/>
                <w:szCs w:val="21"/>
              </w:rPr>
              <w:t>Denetim Komitesi Başkanı ve Yönetim Kurulu Üyesi</w:t>
            </w:r>
          </w:p>
        </w:tc>
        <w:tc>
          <w:tcPr>
            <w:tcW w:w="1498" w:type="dxa"/>
            <w:tcBorders>
              <w:top w:val="nil"/>
              <w:left w:val="nil"/>
              <w:bottom w:val="nil"/>
              <w:right w:val="nil"/>
            </w:tcBorders>
            <w:noWrap/>
            <w:vAlign w:val="bottom"/>
          </w:tcPr>
          <w:p w:rsidR="006F376B" w:rsidRPr="00742397"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p>
        </w:tc>
        <w:tc>
          <w:tcPr>
            <w:tcW w:w="2843" w:type="dxa"/>
            <w:gridSpan w:val="2"/>
            <w:tcBorders>
              <w:top w:val="nil"/>
              <w:left w:val="nil"/>
              <w:bottom w:val="nil"/>
              <w:right w:val="nil"/>
            </w:tcBorders>
            <w:noWrap/>
          </w:tcPr>
          <w:p w:rsidR="006F376B" w:rsidRDefault="00301DE2"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r>
              <w:rPr>
                <w:sz w:val="20"/>
                <w:szCs w:val="20"/>
              </w:rPr>
              <w:t xml:space="preserve">Genel Müdür </w:t>
            </w:r>
            <w:r w:rsidR="001C4395">
              <w:rPr>
                <w:sz w:val="20"/>
                <w:szCs w:val="20"/>
              </w:rPr>
              <w:t>Vekili</w:t>
            </w:r>
          </w:p>
          <w:p w:rsidR="00301DE2" w:rsidRPr="0023585C" w:rsidRDefault="00301DE2"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p>
        </w:tc>
      </w:tr>
      <w:tr w:rsidR="006F376B" w:rsidRPr="00742397" w:rsidTr="00CA2772">
        <w:trPr>
          <w:trHeight w:val="282"/>
        </w:trPr>
        <w:tc>
          <w:tcPr>
            <w:tcW w:w="2988" w:type="dxa"/>
            <w:tcBorders>
              <w:top w:val="nil"/>
              <w:left w:val="nil"/>
              <w:bottom w:val="nil"/>
              <w:right w:val="nil"/>
            </w:tcBorders>
            <w:noWrap/>
            <w:vAlign w:val="bottom"/>
          </w:tcPr>
          <w:p w:rsidR="006F376B" w:rsidRPr="00ED0943" w:rsidRDefault="006F376B" w:rsidP="00CA2772">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1"/>
                <w:szCs w:val="21"/>
              </w:rPr>
            </w:pPr>
          </w:p>
        </w:tc>
        <w:tc>
          <w:tcPr>
            <w:tcW w:w="1498" w:type="dxa"/>
            <w:tcBorders>
              <w:top w:val="nil"/>
              <w:left w:val="nil"/>
              <w:bottom w:val="nil"/>
              <w:right w:val="nil"/>
            </w:tcBorders>
            <w:noWrap/>
            <w:vAlign w:val="bottom"/>
          </w:tcPr>
          <w:p w:rsidR="006F376B" w:rsidRPr="00742397" w:rsidRDefault="006F376B" w:rsidP="00CA2772">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c>
          <w:tcPr>
            <w:tcW w:w="2843" w:type="dxa"/>
            <w:gridSpan w:val="2"/>
            <w:tcBorders>
              <w:top w:val="nil"/>
              <w:left w:val="nil"/>
              <w:bottom w:val="nil"/>
              <w:right w:val="nil"/>
            </w:tcBorders>
            <w:noWrap/>
            <w:vAlign w:val="bottom"/>
          </w:tcPr>
          <w:p w:rsidR="006F376B" w:rsidRPr="00742397" w:rsidRDefault="006F376B" w:rsidP="00CA2772">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r>
    </w:tbl>
    <w:p w:rsidR="006F376B" w:rsidRDefault="006F376B"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rsidR="006F376B" w:rsidRDefault="006F376B"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rsidR="006F376B" w:rsidRDefault="006F376B"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rsidR="006F376B" w:rsidRPr="00A55554" w:rsidRDefault="006F376B"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rsidR="006F376B" w:rsidRPr="00742397" w:rsidRDefault="006F376B" w:rsidP="006F376B">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p w:rsidR="006F376B" w:rsidRPr="00742397" w:rsidRDefault="006F376B" w:rsidP="006F376B">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bl>
      <w:tblPr>
        <w:tblW w:w="3202" w:type="dxa"/>
        <w:tblInd w:w="3229" w:type="dxa"/>
        <w:tblCellMar>
          <w:left w:w="70" w:type="dxa"/>
          <w:right w:w="70" w:type="dxa"/>
        </w:tblCellMar>
        <w:tblLook w:val="0000" w:firstRow="0" w:lastRow="0" w:firstColumn="0" w:lastColumn="0" w:noHBand="0" w:noVBand="0"/>
      </w:tblPr>
      <w:tblGrid>
        <w:gridCol w:w="3202"/>
      </w:tblGrid>
      <w:tr w:rsidR="006F376B" w:rsidRPr="00A5538C" w:rsidTr="00CA2772">
        <w:trPr>
          <w:trHeight w:val="347"/>
        </w:trPr>
        <w:tc>
          <w:tcPr>
            <w:tcW w:w="3202" w:type="dxa"/>
            <w:tcBorders>
              <w:top w:val="nil"/>
              <w:left w:val="nil"/>
              <w:bottom w:val="single" w:sz="8" w:space="0" w:color="auto"/>
              <w:right w:val="nil"/>
            </w:tcBorders>
            <w:noWrap/>
            <w:vAlign w:val="bottom"/>
          </w:tcPr>
          <w:p w:rsidR="006F376B" w:rsidRPr="00A5538C" w:rsidRDefault="006F376B" w:rsidP="00CA2772">
            <w:pPr>
              <w:jc w:val="center"/>
              <w:rPr>
                <w:sz w:val="21"/>
                <w:szCs w:val="21"/>
              </w:rPr>
            </w:pPr>
          </w:p>
        </w:tc>
      </w:tr>
      <w:tr w:rsidR="006F376B" w:rsidRPr="00ED0943" w:rsidTr="00CA2772">
        <w:trPr>
          <w:trHeight w:val="228"/>
        </w:trPr>
        <w:tc>
          <w:tcPr>
            <w:tcW w:w="3202" w:type="dxa"/>
            <w:tcBorders>
              <w:top w:val="nil"/>
              <w:left w:val="nil"/>
              <w:bottom w:val="nil"/>
              <w:right w:val="nil"/>
            </w:tcBorders>
            <w:noWrap/>
            <w:vAlign w:val="bottom"/>
          </w:tcPr>
          <w:p w:rsidR="006F376B" w:rsidRPr="00742397" w:rsidRDefault="006F376B" w:rsidP="00497198">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r>
              <w:rPr>
                <w:sz w:val="20"/>
                <w:szCs w:val="20"/>
              </w:rPr>
              <w:t>HÜSEYİN HASAN İMECE</w:t>
            </w:r>
          </w:p>
        </w:tc>
      </w:tr>
      <w:tr w:rsidR="006F376B" w:rsidRPr="00ED0943" w:rsidTr="00CA2772">
        <w:trPr>
          <w:trHeight w:val="228"/>
        </w:trPr>
        <w:tc>
          <w:tcPr>
            <w:tcW w:w="3202" w:type="dxa"/>
            <w:tcBorders>
              <w:top w:val="nil"/>
              <w:left w:val="nil"/>
              <w:bottom w:val="nil"/>
              <w:right w:val="nil"/>
            </w:tcBorders>
            <w:noWrap/>
          </w:tcPr>
          <w:p w:rsidR="00497198"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r w:rsidRPr="00EA6620">
              <w:rPr>
                <w:sz w:val="20"/>
                <w:szCs w:val="20"/>
              </w:rPr>
              <w:t>Finansal Kontrol ve</w:t>
            </w:r>
            <w:r>
              <w:rPr>
                <w:sz w:val="20"/>
                <w:szCs w:val="20"/>
              </w:rPr>
              <w:t xml:space="preserve"> Muhasebe, </w:t>
            </w:r>
            <w:r w:rsidRPr="00EA6620">
              <w:rPr>
                <w:sz w:val="20"/>
                <w:szCs w:val="20"/>
              </w:rPr>
              <w:t xml:space="preserve"> </w:t>
            </w:r>
            <w:r>
              <w:rPr>
                <w:sz w:val="20"/>
                <w:szCs w:val="20"/>
              </w:rPr>
              <w:t xml:space="preserve">Bilanço Yönetimi ve Ekonomik Araştırmalar Bölümü Genel </w:t>
            </w:r>
          </w:p>
          <w:p w:rsidR="006F376B" w:rsidRPr="0023585C"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r>
              <w:rPr>
                <w:sz w:val="20"/>
                <w:szCs w:val="20"/>
              </w:rPr>
              <w:t>Müdür Vekili</w:t>
            </w:r>
          </w:p>
        </w:tc>
      </w:tr>
      <w:tr w:rsidR="006F376B" w:rsidRPr="00ED0943" w:rsidTr="00CA2772">
        <w:trPr>
          <w:trHeight w:val="228"/>
        </w:trPr>
        <w:tc>
          <w:tcPr>
            <w:tcW w:w="3202" w:type="dxa"/>
            <w:tcBorders>
              <w:top w:val="nil"/>
              <w:left w:val="nil"/>
              <w:bottom w:val="nil"/>
              <w:right w:val="nil"/>
            </w:tcBorders>
            <w:noWrap/>
            <w:vAlign w:val="bottom"/>
          </w:tcPr>
          <w:p w:rsidR="006F376B" w:rsidRPr="00742397" w:rsidRDefault="006F376B" w:rsidP="00CA2772">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r>
    </w:tbl>
    <w:p w:rsidR="006F376B" w:rsidRDefault="006F376B" w:rsidP="006F376B">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p w:rsidR="006F376B" w:rsidRPr="00515197" w:rsidRDefault="006F376B" w:rsidP="00515197">
      <w:pPr>
        <w:pStyle w:val="Style1"/>
        <w:pBdr>
          <w:bottom w:val="none" w:sz="0" w:space="0" w:color="auto"/>
        </w:pBdr>
        <w:rPr>
          <w:color w:val="1F497D"/>
        </w:rPr>
      </w:pPr>
      <w:bookmarkStart w:id="0" w:name="OLE_LINK21"/>
      <w:r w:rsidRPr="0005126D">
        <w:rPr>
          <w:color w:val="1F497D"/>
        </w:rPr>
        <w:lastRenderedPageBreak/>
        <w:t>Yönetim Kurulu Başkanı’nın Mesajı</w:t>
      </w:r>
      <w:bookmarkStart w:id="1" w:name="OLE_LINK23"/>
      <w:bookmarkEnd w:id="0"/>
    </w:p>
    <w:p w:rsidR="0087094F" w:rsidRDefault="00DA6596" w:rsidP="0087094F">
      <w:pPr>
        <w:jc w:val="both"/>
      </w:pPr>
      <w:r w:rsidRPr="00DA6596">
        <w:t>Gelişmiş ülkelerde enflasyonun son 40 yılın en yüksek seviyesine çıkması ile birlikte 2022 yılının ikinci çeyreğinde para politikasında sıkılaşma adımları daha belirgin hale gelmiştir. Amerikan Merkez Bankası FED; politika faizini Mayıs ayında 50 baz puan, Haziran ayında ise 75 baz puan artırırken para politikasındaki sıkı duruşun enflasyon belirgin ve kalıcı bir düşüş görülünceye kadar sürdürüleceği mesajını vermiştir. Amerikan Merkez Bankası’nın diğer gelişmiş ülke merkez bankalarına kıyasla enflasyona karşı daha agresif bir tavır göstermesi küresel resesyon endişelerini arttırmış ve dolar endeksinin tarihi zirvelere yükselmesine neden olmuştur. Bu durum, yılın ikinci çeyreğinin son günlerinde petrol ve diğer emtia fiyatlarında kısmi düşüşlere neden olmuş ve maliyet yönlü enflasyonist baskıların yılın ikinci yarısında azalabileceği beklentisini güçlendirmiştir. Artan enerji fiyatları, Türk Lirası’ndaki değer kaybı ve güçlü iç talep Türkiye ekonomisinde de enflasyonist baskıların yılın ikinci çeyreğinde de güçlü kalmasına neden olmuş; ilk çeyrek sonu itibariyle %61.14 düzeyinde olan yıllık enflasyon ikinci çeyreğin sonu itibariyle %78.62 seviyesine yükselmiştir. Yine söz konusu dönemde artan enerji ithalatı nedeniyle cari dengedeki bozulma devam etmiş ve yıllıklandırılmış cari açık son bir yılın en yüksek seviyesine ulaşmıştır. Enflasyondaki yükselişe karşılık fonlama maliyetinin düşük seviyelerde kalması bankacılık sektörünün net faiz marjının güçlü kalmasını sağlamış ve sektörün karı ilk beş ayında geçen yılın aynı dönemine göre %434 artmıştır. Yılın ikinci çeyreğinin son dönemlerinde hem TCMB hem de BDDK tarafından uygulanan makro ihtiyati tedbirlerin kredi faizlerini yükseltmesi ve önümüzdeki dönemde kredi hacmindeki büyüme hızını yavaşlatması beklenmektedir. Bu durumun yılın ikinci yarısında iç talebin büyümeye yapacağı katkının yılın ilk yarısına göre daha sınırlı kalmasına ve ekonomik aktivitenin yavaşlamasına neden olması beklenmektedir.</w:t>
      </w:r>
    </w:p>
    <w:p w:rsidR="0087094F" w:rsidRPr="008C780F" w:rsidRDefault="0087094F" w:rsidP="0087094F">
      <w:pPr>
        <w:jc w:val="both"/>
      </w:pPr>
      <w:r>
        <w:t>Saygılarımla,</w:t>
      </w:r>
    </w:p>
    <w:p w:rsidR="0087094F" w:rsidRPr="008C780F" w:rsidRDefault="0087094F" w:rsidP="0087094F">
      <w:pPr>
        <w:jc w:val="both"/>
      </w:pPr>
    </w:p>
    <w:p w:rsidR="0087094F" w:rsidRDefault="0087094F" w:rsidP="0087094F">
      <w:pPr>
        <w:jc w:val="both"/>
      </w:pPr>
      <w:r w:rsidRPr="008C780F">
        <w:t>XIANGYANG GAO</w:t>
      </w:r>
    </w:p>
    <w:p w:rsidR="0087094F" w:rsidRPr="008C780F" w:rsidRDefault="0087094F" w:rsidP="0087094F">
      <w:pPr>
        <w:jc w:val="both"/>
      </w:pPr>
    </w:p>
    <w:p w:rsidR="0087094F" w:rsidRPr="0005126D" w:rsidRDefault="0087094F" w:rsidP="0087094F">
      <w:pPr>
        <w:jc w:val="both"/>
      </w:pPr>
      <w:r w:rsidRPr="008C780F">
        <w:t>Yönetim Kurulu Başkanı</w:t>
      </w:r>
    </w:p>
    <w:p w:rsidR="0087094F" w:rsidRDefault="0087094F">
      <w:pPr>
        <w:spacing w:before="0" w:after="200" w:line="276" w:lineRule="auto"/>
      </w:pPr>
      <w:r>
        <w:br w:type="page"/>
      </w:r>
    </w:p>
    <w:p w:rsidR="00565575" w:rsidRPr="00515197" w:rsidRDefault="00875C44" w:rsidP="00515197">
      <w:pPr>
        <w:pStyle w:val="Heading1"/>
        <w:spacing w:before="2" w:after="2"/>
        <w:rPr>
          <w:rFonts w:cs="Tahoma"/>
          <w:color w:val="1F497D"/>
          <w:sz w:val="36"/>
          <w:szCs w:val="36"/>
        </w:rPr>
      </w:pPr>
      <w:r>
        <w:rPr>
          <w:rFonts w:cs="Tahoma"/>
          <w:color w:val="1F497D"/>
          <w:sz w:val="36"/>
          <w:szCs w:val="36"/>
        </w:rPr>
        <w:lastRenderedPageBreak/>
        <w:t>Genel Müdür Vekili’nin</w:t>
      </w:r>
      <w:r w:rsidR="006F376B" w:rsidRPr="00A228FB">
        <w:rPr>
          <w:rFonts w:cs="Tahoma"/>
          <w:color w:val="1F497D"/>
          <w:sz w:val="36"/>
          <w:szCs w:val="36"/>
        </w:rPr>
        <w:t xml:space="preserve"> Mesaj</w:t>
      </w:r>
      <w:bookmarkStart w:id="2" w:name="OLE_LINK8"/>
      <w:bookmarkStart w:id="3" w:name="OLE_LINK257"/>
      <w:r w:rsidR="006F376B" w:rsidRPr="00A228FB">
        <w:rPr>
          <w:rFonts w:cs="Tahoma"/>
          <w:color w:val="1F497D"/>
          <w:sz w:val="36"/>
          <w:szCs w:val="36"/>
        </w:rPr>
        <w:t>ı</w:t>
      </w:r>
      <w:bookmarkEnd w:id="2"/>
      <w:bookmarkEnd w:id="3"/>
    </w:p>
    <w:p w:rsidR="00DA6596" w:rsidRPr="00DA6596" w:rsidRDefault="00DA6596" w:rsidP="00DA6596">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rPr>
          <w:color w:val="222222"/>
        </w:rPr>
      </w:pPr>
      <w:bookmarkStart w:id="4" w:name="OLE_LINK9"/>
      <w:bookmarkEnd w:id="1"/>
      <w:r w:rsidRPr="00DA6596">
        <w:rPr>
          <w:color w:val="222222"/>
        </w:rPr>
        <w:t xml:space="preserve">Küresel enflasyon baskısının daha kalıcı hale gelmesi ve gelişmiş ülke merkez bankalarının yükselen enflasyona karşı para politikalarını sıkılaştırmaya başlaması 2022 yılının ikinci çeyreğinde küresel ekonominin ana gündem maddesi olarak yer aldı. Ukrayna’da yaşanan savaşın etkisi ile enerji ve diğer emtia fiyatlarındaki yükseliş maliyet yönlü fiyat baskılarını arttırmış ve gelişmiş ülkelerde enflasyonun son 40 yılın en yüksek seviyelerine çıkmasına neden olmuştur. Merkez bankaları enflasyon beklentilerindeki uzun vadeli görünümün bozulmaması adına para politikasındaki sıkılaşma adımlarını devam ettirmişlerdir. Bu anlamda Amerikan Merkez Bankası FED, diğer gelişmiş ülke merkez bankalarına göre önemli ölçüde ayrışmış ve politika duruşunu belirgin şekilde sıkılaştırmıştır. FED; politika faizini Mayıs ayında 50 baz puan, Haziran ayında ise 75 baz puan arttırırken enflasyon belirgin şekilde gerileyene kadar politika faizindeki artışın devam edeceğini ifade etmiştir. Avrupa Merkez Bankası parasal genişleme programını sonlandırırken politika faizinde henüz bir arttırım yapmamıştır. FED’in para politikasındaki şahin tavrı, Amerikan Doları’nın uluslararası piyasalarda yükselmesine neden olmuş ve yılın üçüncü çeyreğinin ilk günlerinde EUR/USD paritesi büyük ölçüde gerilemiştir. Gelişmiş ülke merkez bankalarının uyguladığı sıkı para politikası küresel resesyon endişelerini de arttırmış ve bu durumun talep üzerinde oluşturacağı negatif etki nedeniyle son dönemde hem petrol hem de diğer emtia fiyatlarında kısmi düşüşler görülmüştür. Bu durumun kalıcı bir trende dönüşmesi durumunda özellikle yılın son çeyreğinde küresel enflasyon baskısında bir düşüş gözlemlenmesi ve bu durumun da gelişmiş ülke merkez bankalarının faiz arttırımına ara vermelerine neden olması muhtemel bir senaryo olarak karşımıza çıkmaktadır. </w:t>
      </w:r>
    </w:p>
    <w:p w:rsidR="00DA6596" w:rsidRPr="00DA6596" w:rsidRDefault="00DA6596" w:rsidP="00DA6596">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rPr>
          <w:color w:val="222222"/>
        </w:rPr>
      </w:pPr>
      <w:r w:rsidRPr="00DA6596">
        <w:rPr>
          <w:color w:val="222222"/>
        </w:rPr>
        <w:t xml:space="preserve">Yılın ikinci çeyreğinde küresel ekonomideki enflasyonist baskılar, Türkiye ekonomisi üzerinde de etkili olmaya devam etmiştir. Artan enerji fiyatları, kurdaki yükseliş ve güçlü iç talep enflasyonun yılın ikinci çeyreğinde de yükselmesine neden olmuştur. Türk Lirası’nın reel faizinin tarihin en düşük seviyelerinde olması kredi hacmindeki büyümeyi desteklemiş ve enflasyonist baskıları daha da güçlendirmiştir. Artan enerji ithalatı, cari dengedeki görünümün daha da bozulmasına neden olmuş ve Mayıs ayı itibariyle yıllıklandırılmış cari açık, son bir yılın en yüksek düzeyine ulaşmıştır. Oluşan makroekonomik ortam bankacılık sektörünün karını önemli ölçüde desteklemiş ve yılın ilk 5 ayında bankacılık sektörünün toplam karı geçen yılın aynı dönemine göre %434 artmıştır. Son dönemde hem TCMB hem de BDDK’nın almış olduğu makro ihtiyati tedbirlerle kredi büyümesi yavaşlamaya başlamış olup yılın ikinci yarısında talep yönlü enflasyonist baskıların azalması muhtemel görülmektedir. Hem iç talep hem de dış talebin katkısıyla Türkiye ekonomisi yılın ilk çeyreğinde %7.3 oranında büyürken öncü göstergeler büyümenin ikinci çeyrekte de güçlü kalmaya devam ettiğini göstermektedir. Fakat yılın ikinci yarısında iç talepteki yavaşlama ve küresel resesyon endişeleri nedeniyle dış talebin büyümeye katkısının azalması birlikte ekonomik büyümede göreceli olarak bir zayıflama görülmesi beklenmektedir. </w:t>
      </w:r>
    </w:p>
    <w:p w:rsidR="0087094F" w:rsidRDefault="0087094F" w:rsidP="0087094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rPr>
          <w:color w:val="222222"/>
        </w:rPr>
      </w:pPr>
    </w:p>
    <w:p w:rsidR="0087094F" w:rsidRPr="00E36DAB" w:rsidRDefault="0087094F" w:rsidP="0087094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r>
        <w:t>Saygılarımla,</w:t>
      </w:r>
    </w:p>
    <w:p w:rsidR="0087094F" w:rsidRPr="00E36DAB" w:rsidRDefault="0087094F" w:rsidP="0087094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p>
    <w:p w:rsidR="0087094F" w:rsidRDefault="0087094F" w:rsidP="0087094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r>
        <w:t>CHUNYI ZHENG</w:t>
      </w:r>
    </w:p>
    <w:p w:rsidR="0087094F" w:rsidRPr="00E36DAB" w:rsidRDefault="0087094F" w:rsidP="0087094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p>
    <w:p w:rsidR="00E47B25" w:rsidRDefault="0087094F" w:rsidP="0087094F">
      <w:pPr>
        <w:spacing w:line="216" w:lineRule="auto"/>
        <w:jc w:val="both"/>
        <w:rPr>
          <w:color w:val="222222"/>
        </w:rPr>
      </w:pPr>
      <w:r w:rsidRPr="00E36DAB">
        <w:rPr>
          <w:rFonts w:cstheme="minorHAnsi"/>
          <w:szCs w:val="22"/>
        </w:rPr>
        <w:t>Genel Müdür</w:t>
      </w:r>
      <w:r>
        <w:rPr>
          <w:rFonts w:cstheme="minorHAnsi"/>
          <w:szCs w:val="22"/>
        </w:rPr>
        <w:t xml:space="preserve"> Vekili</w:t>
      </w:r>
      <w:r w:rsidR="00E47B25">
        <w:rPr>
          <w:color w:val="222222"/>
        </w:rPr>
        <w:br w:type="page"/>
      </w:r>
    </w:p>
    <w:p w:rsidR="006F376B" w:rsidRPr="000B5690" w:rsidRDefault="006F376B" w:rsidP="00076F83">
      <w:pPr>
        <w:pStyle w:val="Heading1"/>
        <w:spacing w:before="100" w:beforeAutospacing="1" w:after="0"/>
      </w:pPr>
      <w:r w:rsidRPr="00945F44">
        <w:lastRenderedPageBreak/>
        <w:t>Sermaye ve Ortaklık</w:t>
      </w:r>
      <w:r w:rsidRPr="000B5690">
        <w:t xml:space="preserve"> Yapısı  </w:t>
      </w:r>
    </w:p>
    <w:p w:rsidR="006F376B" w:rsidRPr="000B5690" w:rsidRDefault="006F376B" w:rsidP="00076F83">
      <w:pPr>
        <w:pStyle w:val="anayaz"/>
        <w:spacing w:before="100" w:beforeAutospacing="1"/>
        <w:rPr>
          <w:rFonts w:cs="Tahoma"/>
          <w:color w:val="333333"/>
          <w:szCs w:val="22"/>
        </w:rPr>
      </w:pPr>
      <w:r w:rsidRPr="000B5690">
        <w:t xml:space="preserve">Bankamızın </w:t>
      </w:r>
      <w:r w:rsidR="00900568">
        <w:t>3</w:t>
      </w:r>
      <w:r w:rsidR="00DA6596">
        <w:t>0</w:t>
      </w:r>
      <w:r w:rsidR="00670BB8">
        <w:t xml:space="preserve"> </w:t>
      </w:r>
      <w:r w:rsidR="00DA6596">
        <w:t>Haziran</w:t>
      </w:r>
      <w:r w:rsidR="004A6C69">
        <w:t xml:space="preserve"> 202</w:t>
      </w:r>
      <w:r w:rsidR="00DA6596">
        <w:t>3</w:t>
      </w:r>
      <w:r w:rsidRPr="000B5690">
        <w:t xml:space="preserve"> tarihli ortaklık yapısına aşağıda yer verilmektedir.</w:t>
      </w:r>
    </w:p>
    <w:tbl>
      <w:tblPr>
        <w:tblW w:w="8789" w:type="dxa"/>
        <w:tblInd w:w="70" w:type="dxa"/>
        <w:tblCellMar>
          <w:left w:w="70" w:type="dxa"/>
          <w:right w:w="70" w:type="dxa"/>
        </w:tblCellMar>
        <w:tblLook w:val="04A0" w:firstRow="1" w:lastRow="0" w:firstColumn="1" w:lastColumn="0" w:noHBand="0" w:noVBand="1"/>
      </w:tblPr>
      <w:tblGrid>
        <w:gridCol w:w="3736"/>
        <w:gridCol w:w="3316"/>
        <w:gridCol w:w="1737"/>
      </w:tblGrid>
      <w:tr w:rsidR="006F376B" w:rsidRPr="000B5690" w:rsidTr="00CA2772">
        <w:trPr>
          <w:trHeight w:val="285"/>
        </w:trPr>
        <w:tc>
          <w:tcPr>
            <w:tcW w:w="3736" w:type="dxa"/>
            <w:tcBorders>
              <w:top w:val="single" w:sz="4" w:space="0" w:color="auto"/>
              <w:left w:val="nil"/>
              <w:bottom w:val="single" w:sz="4" w:space="0" w:color="auto"/>
              <w:right w:val="nil"/>
            </w:tcBorders>
            <w:shd w:val="clear" w:color="000000" w:fill="FFCC99"/>
            <w:noWrap/>
            <w:vAlign w:val="center"/>
            <w:hideMark/>
          </w:tcPr>
          <w:p w:rsidR="006F376B" w:rsidRPr="000B5690" w:rsidRDefault="006F376B" w:rsidP="00DA6596">
            <w:pPr>
              <w:spacing w:before="0" w:after="0"/>
              <w:rPr>
                <w:rFonts w:cs="Arial"/>
                <w:b/>
                <w:bCs/>
                <w:szCs w:val="22"/>
                <w:lang w:eastAsia="tr-TR"/>
              </w:rPr>
            </w:pPr>
            <w:r>
              <w:rPr>
                <w:rFonts w:cs="Arial"/>
                <w:b/>
                <w:bCs/>
                <w:szCs w:val="22"/>
                <w:lang w:eastAsia="tr-TR"/>
              </w:rPr>
              <w:t>Ortaklık Unvanı –</w:t>
            </w:r>
            <w:r w:rsidRPr="000B5690">
              <w:rPr>
                <w:rFonts w:cs="Arial"/>
                <w:b/>
                <w:bCs/>
                <w:szCs w:val="22"/>
                <w:lang w:eastAsia="tr-TR"/>
              </w:rPr>
              <w:t xml:space="preserve"> </w:t>
            </w:r>
            <w:r w:rsidR="00DA6596">
              <w:rPr>
                <w:rFonts w:cs="Arial"/>
                <w:b/>
                <w:bCs/>
                <w:szCs w:val="22"/>
                <w:lang w:eastAsia="tr-TR"/>
              </w:rPr>
              <w:t>Haziran 2023</w:t>
            </w:r>
          </w:p>
        </w:tc>
        <w:tc>
          <w:tcPr>
            <w:tcW w:w="3316" w:type="dxa"/>
            <w:tcBorders>
              <w:top w:val="single" w:sz="4" w:space="0" w:color="auto"/>
              <w:left w:val="nil"/>
              <w:bottom w:val="single" w:sz="4" w:space="0" w:color="auto"/>
              <w:right w:val="nil"/>
            </w:tcBorders>
            <w:shd w:val="clear" w:color="000000" w:fill="FFCC99"/>
            <w:noWrap/>
            <w:vAlign w:val="center"/>
            <w:hideMark/>
          </w:tcPr>
          <w:p w:rsidR="006F376B" w:rsidRPr="000B5690" w:rsidRDefault="006F376B" w:rsidP="00CA2772">
            <w:pPr>
              <w:spacing w:before="0" w:after="0"/>
              <w:jc w:val="right"/>
              <w:rPr>
                <w:rFonts w:cs="Arial"/>
                <w:b/>
                <w:bCs/>
                <w:szCs w:val="22"/>
                <w:lang w:eastAsia="tr-TR"/>
              </w:rPr>
            </w:pPr>
            <w:r w:rsidRPr="000B5690">
              <w:rPr>
                <w:rFonts w:cs="Arial"/>
                <w:b/>
                <w:bCs/>
                <w:szCs w:val="22"/>
                <w:lang w:eastAsia="tr-TR"/>
              </w:rPr>
              <w:t>Ortaklık Tutarı (TL)</w:t>
            </w:r>
          </w:p>
        </w:tc>
        <w:tc>
          <w:tcPr>
            <w:tcW w:w="1737" w:type="dxa"/>
            <w:tcBorders>
              <w:top w:val="single" w:sz="4" w:space="0" w:color="auto"/>
              <w:left w:val="nil"/>
              <w:bottom w:val="single" w:sz="4" w:space="0" w:color="auto"/>
              <w:right w:val="nil"/>
            </w:tcBorders>
            <w:shd w:val="clear" w:color="000000" w:fill="FFCC99"/>
            <w:noWrap/>
            <w:vAlign w:val="center"/>
            <w:hideMark/>
          </w:tcPr>
          <w:p w:rsidR="006F376B" w:rsidRPr="000B5690" w:rsidRDefault="006F376B" w:rsidP="00CA2772">
            <w:pPr>
              <w:spacing w:before="0" w:after="0"/>
              <w:jc w:val="right"/>
              <w:rPr>
                <w:rFonts w:cs="Arial"/>
                <w:b/>
                <w:bCs/>
                <w:szCs w:val="22"/>
                <w:lang w:eastAsia="tr-TR"/>
              </w:rPr>
            </w:pPr>
            <w:r w:rsidRPr="000B5690">
              <w:rPr>
                <w:rFonts w:cs="Arial"/>
                <w:b/>
                <w:bCs/>
                <w:szCs w:val="22"/>
                <w:lang w:eastAsia="tr-TR"/>
              </w:rPr>
              <w:t>Payı (%)</w:t>
            </w:r>
          </w:p>
        </w:tc>
      </w:tr>
      <w:tr w:rsidR="006F376B" w:rsidRPr="000B5690" w:rsidTr="00CA2772">
        <w:trPr>
          <w:trHeight w:val="255"/>
        </w:trPr>
        <w:tc>
          <w:tcPr>
            <w:tcW w:w="3736" w:type="dxa"/>
            <w:tcBorders>
              <w:top w:val="nil"/>
              <w:left w:val="nil"/>
              <w:bottom w:val="nil"/>
              <w:right w:val="nil"/>
            </w:tcBorders>
            <w:vAlign w:val="center"/>
            <w:hideMark/>
          </w:tcPr>
          <w:p w:rsidR="006F376B" w:rsidRPr="000B5690" w:rsidRDefault="006F376B" w:rsidP="00CA2772">
            <w:pPr>
              <w:spacing w:before="0" w:after="0"/>
              <w:rPr>
                <w:rFonts w:cs="Arial"/>
                <w:sz w:val="20"/>
                <w:szCs w:val="20"/>
                <w:lang w:eastAsia="tr-TR"/>
              </w:rPr>
            </w:pPr>
            <w:r w:rsidRPr="000B5690">
              <w:rPr>
                <w:rFonts w:cs="Arial"/>
                <w:sz w:val="20"/>
                <w:szCs w:val="20"/>
                <w:lang w:eastAsia="tr-TR"/>
              </w:rPr>
              <w:t xml:space="preserve">Industrial and Commercial </w:t>
            </w:r>
          </w:p>
          <w:p w:rsidR="006F376B" w:rsidRPr="000B5690" w:rsidRDefault="006F376B" w:rsidP="00CA2772">
            <w:pPr>
              <w:spacing w:before="0" w:after="0"/>
              <w:rPr>
                <w:rFonts w:cs="Arial"/>
                <w:sz w:val="20"/>
                <w:szCs w:val="20"/>
                <w:lang w:eastAsia="tr-TR"/>
              </w:rPr>
            </w:pPr>
            <w:r w:rsidRPr="000B5690">
              <w:rPr>
                <w:rFonts w:cs="Arial"/>
                <w:sz w:val="20"/>
                <w:szCs w:val="20"/>
                <w:lang w:eastAsia="tr-TR"/>
              </w:rPr>
              <w:t>Bank of China Limited (ICBC)</w:t>
            </w:r>
          </w:p>
        </w:tc>
        <w:tc>
          <w:tcPr>
            <w:tcW w:w="3316" w:type="dxa"/>
            <w:tcBorders>
              <w:top w:val="nil"/>
              <w:left w:val="nil"/>
              <w:bottom w:val="nil"/>
              <w:right w:val="nil"/>
            </w:tcBorders>
            <w:vAlign w:val="center"/>
            <w:hideMark/>
          </w:tcPr>
          <w:p w:rsidR="006F376B" w:rsidRPr="000B5690" w:rsidRDefault="006F376B" w:rsidP="006456A6">
            <w:pPr>
              <w:spacing w:before="0" w:after="0"/>
              <w:jc w:val="right"/>
              <w:rPr>
                <w:rFonts w:cs="Arial"/>
                <w:sz w:val="20"/>
                <w:szCs w:val="20"/>
                <w:lang w:eastAsia="tr-TR"/>
              </w:rPr>
            </w:pPr>
            <w:r w:rsidRPr="000B5690">
              <w:rPr>
                <w:rFonts w:cs="Arial"/>
                <w:sz w:val="20"/>
                <w:szCs w:val="20"/>
                <w:lang w:eastAsia="tr-TR"/>
              </w:rPr>
              <w:t>798,428,227</w:t>
            </w:r>
          </w:p>
        </w:tc>
        <w:tc>
          <w:tcPr>
            <w:tcW w:w="1737" w:type="dxa"/>
            <w:tcBorders>
              <w:top w:val="nil"/>
              <w:left w:val="nil"/>
              <w:bottom w:val="nil"/>
              <w:right w:val="nil"/>
            </w:tcBorders>
            <w:vAlign w:val="center"/>
            <w:hideMark/>
          </w:tcPr>
          <w:p w:rsidR="006F376B" w:rsidRPr="000B5690" w:rsidRDefault="006F376B" w:rsidP="00CA2772">
            <w:pPr>
              <w:spacing w:before="0" w:after="0"/>
              <w:jc w:val="right"/>
              <w:rPr>
                <w:rFonts w:cs="Arial"/>
                <w:sz w:val="20"/>
                <w:szCs w:val="20"/>
                <w:lang w:eastAsia="tr-TR"/>
              </w:rPr>
            </w:pPr>
            <w:r w:rsidRPr="000B5690">
              <w:rPr>
                <w:rFonts w:cs="Arial"/>
                <w:sz w:val="20"/>
                <w:szCs w:val="20"/>
                <w:lang w:eastAsia="tr-TR"/>
              </w:rPr>
              <w:t>92.84</w:t>
            </w:r>
          </w:p>
        </w:tc>
      </w:tr>
      <w:tr w:rsidR="006F376B" w:rsidRPr="000B5690" w:rsidTr="00CA2772">
        <w:trPr>
          <w:trHeight w:val="255"/>
        </w:trPr>
        <w:tc>
          <w:tcPr>
            <w:tcW w:w="3736" w:type="dxa"/>
            <w:tcBorders>
              <w:top w:val="nil"/>
              <w:left w:val="nil"/>
              <w:bottom w:val="nil"/>
              <w:right w:val="nil"/>
            </w:tcBorders>
            <w:vAlign w:val="center"/>
            <w:hideMark/>
          </w:tcPr>
          <w:p w:rsidR="006F376B" w:rsidRPr="000B5690" w:rsidRDefault="006F376B" w:rsidP="00CA2772">
            <w:pPr>
              <w:spacing w:before="0" w:after="0"/>
              <w:rPr>
                <w:rFonts w:cs="Arial"/>
                <w:sz w:val="20"/>
                <w:szCs w:val="20"/>
                <w:lang w:eastAsia="tr-TR"/>
              </w:rPr>
            </w:pPr>
            <w:r w:rsidRPr="000B5690">
              <w:rPr>
                <w:rFonts w:cs="Arial"/>
                <w:sz w:val="20"/>
                <w:szCs w:val="20"/>
                <w:lang w:eastAsia="tr-TR"/>
              </w:rPr>
              <w:t xml:space="preserve">Halka Açık </w:t>
            </w:r>
          </w:p>
        </w:tc>
        <w:tc>
          <w:tcPr>
            <w:tcW w:w="3316" w:type="dxa"/>
            <w:tcBorders>
              <w:top w:val="nil"/>
              <w:left w:val="nil"/>
              <w:bottom w:val="nil"/>
              <w:right w:val="nil"/>
            </w:tcBorders>
            <w:vAlign w:val="center"/>
            <w:hideMark/>
          </w:tcPr>
          <w:p w:rsidR="006F376B" w:rsidRPr="000B5690" w:rsidRDefault="006F376B" w:rsidP="006456A6">
            <w:pPr>
              <w:spacing w:before="0" w:after="0"/>
              <w:jc w:val="right"/>
              <w:rPr>
                <w:rFonts w:cs="Arial"/>
                <w:sz w:val="20"/>
                <w:szCs w:val="20"/>
                <w:lang w:eastAsia="tr-TR"/>
              </w:rPr>
            </w:pPr>
            <w:r w:rsidRPr="000B5690">
              <w:rPr>
                <w:rFonts w:cs="Arial"/>
                <w:sz w:val="20"/>
                <w:szCs w:val="20"/>
                <w:lang w:eastAsia="tr-TR"/>
              </w:rPr>
              <w:t>61,571,773</w:t>
            </w:r>
          </w:p>
        </w:tc>
        <w:tc>
          <w:tcPr>
            <w:tcW w:w="1737" w:type="dxa"/>
            <w:tcBorders>
              <w:top w:val="nil"/>
              <w:left w:val="nil"/>
              <w:bottom w:val="nil"/>
              <w:right w:val="nil"/>
            </w:tcBorders>
            <w:vAlign w:val="center"/>
            <w:hideMark/>
          </w:tcPr>
          <w:p w:rsidR="006F376B" w:rsidRPr="000B5690" w:rsidRDefault="006F376B" w:rsidP="00CA2772">
            <w:pPr>
              <w:spacing w:before="0" w:after="0"/>
              <w:jc w:val="right"/>
              <w:rPr>
                <w:rFonts w:cs="Arial"/>
                <w:sz w:val="20"/>
                <w:szCs w:val="20"/>
                <w:lang w:eastAsia="tr-TR"/>
              </w:rPr>
            </w:pPr>
            <w:r w:rsidRPr="000B5690">
              <w:rPr>
                <w:rFonts w:cs="Arial"/>
                <w:sz w:val="20"/>
                <w:szCs w:val="20"/>
                <w:lang w:eastAsia="tr-TR"/>
              </w:rPr>
              <w:t>7.16</w:t>
            </w:r>
          </w:p>
        </w:tc>
      </w:tr>
      <w:tr w:rsidR="006F376B" w:rsidRPr="000B5690" w:rsidTr="00CA2772">
        <w:trPr>
          <w:trHeight w:val="270"/>
        </w:trPr>
        <w:tc>
          <w:tcPr>
            <w:tcW w:w="3736" w:type="dxa"/>
            <w:tcBorders>
              <w:top w:val="single" w:sz="4" w:space="0" w:color="auto"/>
              <w:left w:val="nil"/>
              <w:bottom w:val="double" w:sz="6" w:space="0" w:color="auto"/>
              <w:right w:val="nil"/>
            </w:tcBorders>
            <w:shd w:val="clear" w:color="000000" w:fill="FFFFFF"/>
            <w:noWrap/>
            <w:vAlign w:val="center"/>
            <w:hideMark/>
          </w:tcPr>
          <w:p w:rsidR="006F376B" w:rsidRPr="000B5690" w:rsidRDefault="006F376B" w:rsidP="00CA2772">
            <w:pPr>
              <w:spacing w:before="0" w:after="0"/>
              <w:rPr>
                <w:rFonts w:cs="Arial"/>
                <w:b/>
                <w:sz w:val="20"/>
                <w:szCs w:val="20"/>
                <w:lang w:eastAsia="tr-TR"/>
              </w:rPr>
            </w:pPr>
            <w:r w:rsidRPr="000B5690">
              <w:rPr>
                <w:rFonts w:cs="Arial"/>
                <w:b/>
                <w:sz w:val="20"/>
                <w:szCs w:val="20"/>
                <w:lang w:eastAsia="tr-TR"/>
              </w:rPr>
              <w:t>Genel Toplam</w:t>
            </w:r>
          </w:p>
        </w:tc>
        <w:tc>
          <w:tcPr>
            <w:tcW w:w="3316" w:type="dxa"/>
            <w:tcBorders>
              <w:top w:val="single" w:sz="4" w:space="0" w:color="auto"/>
              <w:left w:val="nil"/>
              <w:bottom w:val="double" w:sz="6" w:space="0" w:color="auto"/>
              <w:right w:val="nil"/>
            </w:tcBorders>
            <w:vAlign w:val="center"/>
            <w:hideMark/>
          </w:tcPr>
          <w:p w:rsidR="006F376B" w:rsidRPr="000B5690" w:rsidRDefault="006F376B" w:rsidP="006456A6">
            <w:pPr>
              <w:spacing w:before="0" w:after="0"/>
              <w:jc w:val="right"/>
              <w:rPr>
                <w:rFonts w:cs="Arial"/>
                <w:b/>
                <w:sz w:val="20"/>
                <w:szCs w:val="20"/>
                <w:lang w:eastAsia="tr-TR"/>
              </w:rPr>
            </w:pPr>
            <w:r w:rsidRPr="000B5690">
              <w:rPr>
                <w:rFonts w:cs="Arial"/>
                <w:b/>
                <w:sz w:val="20"/>
                <w:szCs w:val="20"/>
                <w:lang w:eastAsia="tr-TR"/>
              </w:rPr>
              <w:t>860,000,000</w:t>
            </w:r>
          </w:p>
        </w:tc>
        <w:tc>
          <w:tcPr>
            <w:tcW w:w="1737" w:type="dxa"/>
            <w:tcBorders>
              <w:top w:val="single" w:sz="4" w:space="0" w:color="auto"/>
              <w:left w:val="nil"/>
              <w:bottom w:val="double" w:sz="6" w:space="0" w:color="auto"/>
              <w:right w:val="nil"/>
            </w:tcBorders>
            <w:vAlign w:val="center"/>
            <w:hideMark/>
          </w:tcPr>
          <w:p w:rsidR="006F376B" w:rsidRPr="000B5690" w:rsidRDefault="006F376B" w:rsidP="00CA2772">
            <w:pPr>
              <w:spacing w:before="0" w:after="0"/>
              <w:jc w:val="right"/>
              <w:rPr>
                <w:rFonts w:cs="Arial"/>
                <w:b/>
                <w:sz w:val="20"/>
                <w:szCs w:val="20"/>
                <w:lang w:eastAsia="tr-TR"/>
              </w:rPr>
            </w:pPr>
            <w:r w:rsidRPr="000B5690">
              <w:rPr>
                <w:rFonts w:cs="Arial"/>
                <w:b/>
                <w:sz w:val="20"/>
                <w:szCs w:val="20"/>
                <w:lang w:eastAsia="tr-TR"/>
              </w:rPr>
              <w:t>100.00</w:t>
            </w:r>
          </w:p>
        </w:tc>
      </w:tr>
    </w:tbl>
    <w:p w:rsidR="006F376B" w:rsidRPr="00945F44" w:rsidRDefault="006F376B" w:rsidP="006F376B">
      <w:pPr>
        <w:pStyle w:val="anayaz"/>
        <w:ind w:right="-142"/>
      </w:pPr>
      <w:r w:rsidRPr="00945F44">
        <w:t xml:space="preserve">6102 sayılı Türk Ticaret Kanunu’nun 379.maddesi kapsamında Bankamızın iktisap ettiği kendi payı bulunmamaktadır. </w:t>
      </w:r>
    </w:p>
    <w:p w:rsidR="00D35181" w:rsidRPr="00D35181" w:rsidRDefault="006F376B" w:rsidP="00627261">
      <w:pPr>
        <w:ind w:right="-142"/>
        <w:jc w:val="both"/>
      </w:pPr>
      <w:r w:rsidRPr="00945F44">
        <w:rPr>
          <w:b/>
          <w:bCs/>
        </w:rPr>
        <w:t>Yöneticilerin Sahip Oldukları Paylar;</w:t>
      </w:r>
      <w:r w:rsidRPr="00945F44">
        <w:rPr>
          <w:bCs/>
        </w:rPr>
        <w:t xml:space="preserve"> Banka’nın ortaklık yapısı içerisinde pay defteri kayıtlarına göre, Yönetim Kurulu Üyeleri ile Genel Müdür ve Yardımcı</w:t>
      </w:r>
      <w:r w:rsidR="00627261">
        <w:rPr>
          <w:bCs/>
        </w:rPr>
        <w:t>larının payları bulunmamaktadır.</w:t>
      </w:r>
    </w:p>
    <w:p w:rsidR="00D35181" w:rsidRPr="002F5032" w:rsidRDefault="00D35181" w:rsidP="00D35181">
      <w:pPr>
        <w:pStyle w:val="Heading1"/>
        <w:spacing w:before="240" w:after="240" w:line="228" w:lineRule="auto"/>
      </w:pPr>
      <w:r w:rsidRPr="002F5032">
        <w:t>Yönetim Kurulu Başkan ve Üyeleri, Denetim Komitesi Üyeleri</w:t>
      </w:r>
    </w:p>
    <w:tbl>
      <w:tblPr>
        <w:tblW w:w="9015" w:type="dxa"/>
        <w:tblInd w:w="70" w:type="dxa"/>
        <w:tblCellMar>
          <w:left w:w="70" w:type="dxa"/>
          <w:right w:w="70" w:type="dxa"/>
        </w:tblCellMar>
        <w:tblLook w:val="04A0" w:firstRow="1" w:lastRow="0" w:firstColumn="1" w:lastColumn="0" w:noHBand="0" w:noVBand="1"/>
      </w:tblPr>
      <w:tblGrid>
        <w:gridCol w:w="3365"/>
        <w:gridCol w:w="5650"/>
      </w:tblGrid>
      <w:tr w:rsidR="00756420" w:rsidRPr="002F5032" w:rsidTr="0037548D">
        <w:trPr>
          <w:trHeight w:val="308"/>
        </w:trPr>
        <w:tc>
          <w:tcPr>
            <w:tcW w:w="3365" w:type="dxa"/>
            <w:tcBorders>
              <w:top w:val="single" w:sz="4" w:space="0" w:color="auto"/>
              <w:left w:val="nil"/>
              <w:right w:val="nil"/>
            </w:tcBorders>
            <w:shd w:val="clear" w:color="000000" w:fill="FFCC99"/>
            <w:noWrap/>
            <w:vAlign w:val="bottom"/>
            <w:hideMark/>
          </w:tcPr>
          <w:p w:rsidR="00756420" w:rsidRPr="002F5032" w:rsidRDefault="00756420" w:rsidP="0037548D">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İsim</w:t>
            </w:r>
          </w:p>
        </w:tc>
        <w:tc>
          <w:tcPr>
            <w:tcW w:w="5650" w:type="dxa"/>
            <w:tcBorders>
              <w:top w:val="single" w:sz="4" w:space="0" w:color="auto"/>
              <w:left w:val="nil"/>
              <w:right w:val="nil"/>
            </w:tcBorders>
            <w:shd w:val="clear" w:color="000000" w:fill="FFCC99"/>
            <w:noWrap/>
            <w:vAlign w:val="bottom"/>
            <w:hideMark/>
          </w:tcPr>
          <w:p w:rsidR="00756420" w:rsidRPr="002F5032" w:rsidRDefault="00756420" w:rsidP="0037548D">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 xml:space="preserve">Görevi ve Sorumluluk Alanı </w:t>
            </w:r>
          </w:p>
        </w:tc>
      </w:tr>
      <w:tr w:rsidR="00756420" w:rsidRPr="002F5032" w:rsidTr="0037548D">
        <w:trPr>
          <w:trHeight w:val="275"/>
        </w:trPr>
        <w:tc>
          <w:tcPr>
            <w:tcW w:w="3365"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Xiangyang Gao</w:t>
            </w:r>
          </w:p>
        </w:tc>
        <w:tc>
          <w:tcPr>
            <w:tcW w:w="5650"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Yönetim Kurulu Başkanı</w:t>
            </w:r>
          </w:p>
        </w:tc>
      </w:tr>
      <w:tr w:rsidR="00756420" w:rsidRPr="002F5032" w:rsidTr="0037548D">
        <w:trPr>
          <w:trHeight w:val="275"/>
        </w:trPr>
        <w:tc>
          <w:tcPr>
            <w:tcW w:w="3365"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Pr>
                <w:rFonts w:cs="Arial"/>
                <w:color w:val="auto"/>
                <w:sz w:val="20"/>
                <w:lang w:eastAsia="tr-TR"/>
              </w:rPr>
              <w:t>Chunyi Zheng</w:t>
            </w:r>
            <w:r w:rsidRPr="00F16AE0">
              <w:rPr>
                <w:rFonts w:cs="Arial"/>
                <w:color w:val="auto"/>
                <w:sz w:val="20"/>
                <w:vertAlign w:val="superscript"/>
                <w:lang w:eastAsia="tr-TR"/>
              </w:rPr>
              <w:t>(*)</w:t>
            </w:r>
            <w:r>
              <w:rPr>
                <w:rFonts w:cs="Arial"/>
                <w:color w:val="auto"/>
                <w:sz w:val="20"/>
                <w:vertAlign w:val="superscript"/>
                <w:lang w:eastAsia="tr-TR"/>
              </w:rPr>
              <w:t>(**)</w:t>
            </w:r>
          </w:p>
        </w:tc>
        <w:tc>
          <w:tcPr>
            <w:tcW w:w="5650"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Y.K. Üyesi ve Genel Müdür</w:t>
            </w:r>
            <w:r>
              <w:rPr>
                <w:rFonts w:cs="Arial"/>
                <w:color w:val="auto"/>
                <w:sz w:val="20"/>
                <w:lang w:eastAsia="tr-TR"/>
              </w:rPr>
              <w:t xml:space="preserve"> Vekili</w:t>
            </w:r>
          </w:p>
        </w:tc>
      </w:tr>
      <w:tr w:rsidR="00756420" w:rsidRPr="002F5032" w:rsidTr="0037548D">
        <w:trPr>
          <w:trHeight w:val="275"/>
        </w:trPr>
        <w:tc>
          <w:tcPr>
            <w:tcW w:w="3365" w:type="dxa"/>
            <w:tcBorders>
              <w:left w:val="nil"/>
              <w:right w:val="nil"/>
            </w:tcBorders>
            <w:shd w:val="clear" w:color="000000" w:fill="FFFFFF"/>
            <w:noWrap/>
            <w:vAlign w:val="bottom"/>
          </w:tcPr>
          <w:p w:rsidR="00756420" w:rsidRPr="00945F44"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Peiguo Liu</w:t>
            </w:r>
          </w:p>
        </w:tc>
        <w:tc>
          <w:tcPr>
            <w:tcW w:w="5650"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Y.K. Üyesi  ve Denetim Komitesi Başkanı</w:t>
            </w:r>
          </w:p>
        </w:tc>
      </w:tr>
      <w:tr w:rsidR="00756420" w:rsidRPr="002F5032" w:rsidTr="0037548D">
        <w:trPr>
          <w:trHeight w:val="275"/>
        </w:trPr>
        <w:tc>
          <w:tcPr>
            <w:tcW w:w="3365" w:type="dxa"/>
            <w:tcBorders>
              <w:left w:val="nil"/>
              <w:right w:val="nil"/>
            </w:tcBorders>
            <w:shd w:val="clear" w:color="000000" w:fill="FFFFFF"/>
            <w:noWrap/>
            <w:vAlign w:val="bottom"/>
          </w:tcPr>
          <w:p w:rsidR="00756420" w:rsidRPr="00945F44"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Jianfeng Zheng</w:t>
            </w:r>
          </w:p>
        </w:tc>
        <w:tc>
          <w:tcPr>
            <w:tcW w:w="5650"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Y.K. Üyesi</w:t>
            </w:r>
          </w:p>
        </w:tc>
      </w:tr>
      <w:tr w:rsidR="00756420" w:rsidRPr="002F5032" w:rsidTr="0037548D">
        <w:trPr>
          <w:trHeight w:val="275"/>
        </w:trPr>
        <w:tc>
          <w:tcPr>
            <w:tcW w:w="3365" w:type="dxa"/>
            <w:tcBorders>
              <w:left w:val="nil"/>
              <w:right w:val="nil"/>
            </w:tcBorders>
            <w:shd w:val="clear" w:color="000000" w:fill="FFFFFF"/>
            <w:noWrap/>
            <w:vAlign w:val="bottom"/>
          </w:tcPr>
          <w:p w:rsidR="00756420" w:rsidRPr="00945F44"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Ying Wang</w:t>
            </w:r>
          </w:p>
        </w:tc>
        <w:tc>
          <w:tcPr>
            <w:tcW w:w="5650"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Bağımsız Y.K. Üyesi  ve Denetim Komitesi Üyesi</w:t>
            </w:r>
          </w:p>
        </w:tc>
      </w:tr>
      <w:tr w:rsidR="00756420" w:rsidRPr="002F5032" w:rsidTr="0037548D">
        <w:trPr>
          <w:trHeight w:val="275"/>
        </w:trPr>
        <w:tc>
          <w:tcPr>
            <w:tcW w:w="3365" w:type="dxa"/>
            <w:tcBorders>
              <w:left w:val="nil"/>
              <w:bottom w:val="double" w:sz="4" w:space="0" w:color="auto"/>
              <w:right w:val="nil"/>
            </w:tcBorders>
            <w:shd w:val="clear" w:color="000000" w:fill="FFFFFF"/>
            <w:noWrap/>
            <w:vAlign w:val="bottom"/>
          </w:tcPr>
          <w:p w:rsidR="00756420" w:rsidRPr="00945F44"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 xml:space="preserve">Serhat Yanık  </w:t>
            </w:r>
          </w:p>
        </w:tc>
        <w:tc>
          <w:tcPr>
            <w:tcW w:w="5650" w:type="dxa"/>
            <w:tcBorders>
              <w:left w:val="nil"/>
              <w:bottom w:val="double" w:sz="4" w:space="0" w:color="auto"/>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 xml:space="preserve">Bağımsız Y.K Üyesi  </w:t>
            </w:r>
          </w:p>
        </w:tc>
      </w:tr>
    </w:tbl>
    <w:p w:rsidR="00D35181" w:rsidRDefault="00D35181" w:rsidP="00D35181">
      <w:pPr>
        <w:pStyle w:val="Heading1"/>
        <w:spacing w:before="120" w:after="240" w:line="228" w:lineRule="auto"/>
      </w:pPr>
      <w:r w:rsidRPr="002F5032">
        <w:t xml:space="preserve">Banka Üst Yönetimi ve Bankadaki Sorumlulukları </w:t>
      </w:r>
    </w:p>
    <w:tbl>
      <w:tblPr>
        <w:tblW w:w="9144" w:type="dxa"/>
        <w:tblInd w:w="70" w:type="dxa"/>
        <w:tblCellMar>
          <w:left w:w="70" w:type="dxa"/>
          <w:right w:w="70" w:type="dxa"/>
        </w:tblCellMar>
        <w:tblLook w:val="04A0" w:firstRow="1" w:lastRow="0" w:firstColumn="1" w:lastColumn="0" w:noHBand="0" w:noVBand="1"/>
      </w:tblPr>
      <w:tblGrid>
        <w:gridCol w:w="3402"/>
        <w:gridCol w:w="5742"/>
      </w:tblGrid>
      <w:tr w:rsidR="00756420" w:rsidRPr="002F5032" w:rsidTr="0037548D">
        <w:trPr>
          <w:trHeight w:val="285"/>
        </w:trPr>
        <w:tc>
          <w:tcPr>
            <w:tcW w:w="3402" w:type="dxa"/>
            <w:tcBorders>
              <w:top w:val="single" w:sz="4" w:space="0" w:color="auto"/>
              <w:left w:val="nil"/>
              <w:right w:val="nil"/>
            </w:tcBorders>
            <w:shd w:val="clear" w:color="000000" w:fill="FFCC99"/>
            <w:noWrap/>
            <w:vAlign w:val="bottom"/>
            <w:hideMark/>
          </w:tcPr>
          <w:p w:rsidR="00756420" w:rsidRPr="002F5032" w:rsidRDefault="00756420" w:rsidP="0037548D">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İsim</w:t>
            </w:r>
          </w:p>
        </w:tc>
        <w:tc>
          <w:tcPr>
            <w:tcW w:w="5742" w:type="dxa"/>
            <w:tcBorders>
              <w:top w:val="single" w:sz="4" w:space="0" w:color="auto"/>
              <w:left w:val="nil"/>
              <w:right w:val="nil"/>
            </w:tcBorders>
            <w:shd w:val="clear" w:color="000000" w:fill="FFCC99"/>
            <w:noWrap/>
            <w:vAlign w:val="bottom"/>
            <w:hideMark/>
          </w:tcPr>
          <w:p w:rsidR="00756420" w:rsidRPr="002F5032" w:rsidRDefault="00756420" w:rsidP="0037548D">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 xml:space="preserve">Görevi ve Sorumluluk Alanı </w:t>
            </w:r>
          </w:p>
        </w:tc>
      </w:tr>
      <w:tr w:rsidR="00756420" w:rsidRPr="002F5032" w:rsidTr="0037548D">
        <w:trPr>
          <w:trHeight w:val="255"/>
        </w:trPr>
        <w:tc>
          <w:tcPr>
            <w:tcW w:w="3402" w:type="dxa"/>
            <w:tcBorders>
              <w:left w:val="nil"/>
              <w:right w:val="nil"/>
            </w:tcBorders>
            <w:shd w:val="clear" w:color="000000" w:fill="FFFFFF"/>
            <w:noWrap/>
          </w:tcPr>
          <w:p w:rsidR="00756420" w:rsidRPr="00945F44" w:rsidRDefault="00756420" w:rsidP="0037548D">
            <w:pPr>
              <w:spacing w:line="228" w:lineRule="auto"/>
              <w:rPr>
                <w:rFonts w:cs="Arial"/>
                <w:color w:val="auto"/>
                <w:sz w:val="20"/>
                <w:lang w:eastAsia="tr-TR"/>
              </w:rPr>
            </w:pPr>
            <w:r>
              <w:rPr>
                <w:rFonts w:cs="Arial"/>
                <w:color w:val="auto"/>
                <w:sz w:val="20"/>
                <w:lang w:eastAsia="tr-TR"/>
              </w:rPr>
              <w:t>Chunyi Zheng</w:t>
            </w:r>
            <w:r w:rsidRPr="00F16AE0">
              <w:rPr>
                <w:rFonts w:cs="Arial"/>
                <w:color w:val="auto"/>
                <w:sz w:val="20"/>
                <w:vertAlign w:val="superscript"/>
                <w:lang w:eastAsia="tr-TR"/>
              </w:rPr>
              <w:t>(*)</w:t>
            </w:r>
            <w:r>
              <w:rPr>
                <w:rFonts w:cs="Arial"/>
                <w:color w:val="auto"/>
                <w:sz w:val="20"/>
                <w:vertAlign w:val="superscript"/>
                <w:lang w:eastAsia="tr-TR"/>
              </w:rPr>
              <w:t>(**)</w:t>
            </w:r>
          </w:p>
        </w:tc>
        <w:tc>
          <w:tcPr>
            <w:tcW w:w="5742" w:type="dxa"/>
            <w:tcBorders>
              <w:left w:val="nil"/>
              <w:right w:val="nil"/>
            </w:tcBorders>
            <w:shd w:val="clear" w:color="000000" w:fill="FFFFFF"/>
            <w:noWrap/>
            <w:vAlign w:val="bottom"/>
          </w:tcPr>
          <w:p w:rsidR="00756420" w:rsidRPr="00945F44" w:rsidRDefault="00756420" w:rsidP="0037548D">
            <w:pPr>
              <w:spacing w:before="100" w:beforeAutospacing="1" w:after="100" w:afterAutospacing="1" w:line="228" w:lineRule="auto"/>
              <w:rPr>
                <w:rFonts w:cs="Arial"/>
                <w:color w:val="auto"/>
                <w:sz w:val="20"/>
                <w:lang w:eastAsia="tr-TR"/>
              </w:rPr>
            </w:pPr>
            <w:r w:rsidRPr="00C801B7">
              <w:rPr>
                <w:rFonts w:cs="Arial"/>
                <w:color w:val="auto"/>
                <w:sz w:val="20"/>
                <w:lang w:eastAsia="tr-TR"/>
              </w:rPr>
              <w:t>Genel Müdür</w:t>
            </w:r>
            <w:r>
              <w:rPr>
                <w:rFonts w:cs="Arial"/>
                <w:color w:val="auto"/>
                <w:sz w:val="20"/>
                <w:lang w:eastAsia="tr-TR"/>
              </w:rPr>
              <w:t xml:space="preserve"> Vekili </w:t>
            </w:r>
            <w:r w:rsidRPr="00C801B7">
              <w:rPr>
                <w:rFonts w:cs="Arial"/>
                <w:color w:val="auto"/>
                <w:sz w:val="20"/>
                <w:lang w:eastAsia="tr-TR"/>
              </w:rPr>
              <w:t>-</w:t>
            </w:r>
            <w:r>
              <w:rPr>
                <w:rFonts w:cs="Arial"/>
                <w:color w:val="auto"/>
                <w:sz w:val="20"/>
                <w:lang w:eastAsia="tr-TR"/>
              </w:rPr>
              <w:t xml:space="preserve"> </w:t>
            </w:r>
            <w:r w:rsidRPr="00C801B7">
              <w:rPr>
                <w:rFonts w:cs="Arial"/>
                <w:color w:val="auto"/>
                <w:sz w:val="20"/>
                <w:lang w:eastAsia="tr-TR"/>
              </w:rPr>
              <w:t>Yönetim Kurulu Üyesi</w:t>
            </w:r>
            <w:r>
              <w:rPr>
                <w:rFonts w:cs="Arial"/>
                <w:color w:val="auto"/>
                <w:sz w:val="20"/>
                <w:lang w:eastAsia="tr-TR"/>
              </w:rPr>
              <w:t xml:space="preserve"> – Proje ve Cross Border Finansman Bölümü, Perakende Bankacılık Bölümü, Yönetim Ofisi Genel Sekreterlik Birimi, Kredi ve Yatırım Yönetimi Bölümü ve Yatırım Bankacılığı Bölümü</w:t>
            </w:r>
          </w:p>
        </w:tc>
      </w:tr>
      <w:tr w:rsidR="00756420" w:rsidRPr="002F5032" w:rsidTr="0037548D">
        <w:trPr>
          <w:trHeight w:val="255"/>
        </w:trPr>
        <w:tc>
          <w:tcPr>
            <w:tcW w:w="3402" w:type="dxa"/>
            <w:tcBorders>
              <w:left w:val="nil"/>
              <w:right w:val="nil"/>
            </w:tcBorders>
            <w:shd w:val="clear" w:color="000000" w:fill="FFFFFF"/>
            <w:noWrap/>
            <w:hideMark/>
          </w:tcPr>
          <w:p w:rsidR="00756420" w:rsidRPr="00B14FFB" w:rsidRDefault="00756420" w:rsidP="0037548D">
            <w:pPr>
              <w:spacing w:before="100" w:beforeAutospacing="1" w:after="100" w:afterAutospacing="1" w:line="228" w:lineRule="auto"/>
              <w:rPr>
                <w:rFonts w:cs="Arial"/>
                <w:color w:val="auto"/>
                <w:sz w:val="20"/>
                <w:lang w:eastAsia="tr-TR"/>
              </w:rPr>
            </w:pPr>
            <w:r w:rsidRPr="00B14FFB">
              <w:rPr>
                <w:sz w:val="20"/>
              </w:rPr>
              <w:t>Jinhong Li</w:t>
            </w:r>
          </w:p>
        </w:tc>
        <w:tc>
          <w:tcPr>
            <w:tcW w:w="5742" w:type="dxa"/>
            <w:tcBorders>
              <w:left w:val="nil"/>
              <w:right w:val="nil"/>
            </w:tcBorders>
            <w:shd w:val="clear" w:color="000000" w:fill="FFFFFF"/>
            <w:noWrap/>
            <w:vAlign w:val="bottom"/>
            <w:hideMark/>
          </w:tcPr>
          <w:p w:rsidR="00756420" w:rsidRPr="00945F44" w:rsidRDefault="00756420" w:rsidP="0037548D">
            <w:pPr>
              <w:spacing w:before="100" w:beforeAutospacing="1" w:after="100" w:afterAutospacing="1" w:line="228" w:lineRule="auto"/>
              <w:rPr>
                <w:rFonts w:cs="Arial"/>
                <w:color w:val="auto"/>
                <w:sz w:val="20"/>
                <w:lang w:eastAsia="tr-TR"/>
              </w:rPr>
            </w:pPr>
            <w:r w:rsidRPr="00C801B7">
              <w:rPr>
                <w:rFonts w:cs="Arial"/>
                <w:color w:val="auto"/>
                <w:sz w:val="20"/>
                <w:lang w:eastAsia="tr-TR"/>
              </w:rPr>
              <w:t>Genel Müdür Vekili</w:t>
            </w:r>
            <w:r>
              <w:rPr>
                <w:rFonts w:cs="Arial"/>
                <w:color w:val="auto"/>
                <w:sz w:val="20"/>
                <w:lang w:eastAsia="tr-TR"/>
              </w:rPr>
              <w:t xml:space="preserve"> – Genel Müdür Yardımcısı - </w:t>
            </w:r>
            <w:r w:rsidRPr="00C801B7">
              <w:rPr>
                <w:rFonts w:cs="Arial"/>
                <w:color w:val="auto"/>
                <w:sz w:val="20"/>
                <w:lang w:eastAsia="tr-TR"/>
              </w:rPr>
              <w:t>Kredi Tahsis</w:t>
            </w:r>
            <w:r>
              <w:rPr>
                <w:rFonts w:cs="Arial"/>
                <w:color w:val="auto"/>
                <w:sz w:val="20"/>
                <w:lang w:eastAsia="tr-TR"/>
              </w:rPr>
              <w:t xml:space="preserve"> Bölümü</w:t>
            </w:r>
            <w:r w:rsidRPr="00C801B7">
              <w:rPr>
                <w:rFonts w:cs="Arial"/>
                <w:color w:val="auto"/>
                <w:sz w:val="20"/>
                <w:lang w:eastAsia="tr-TR"/>
              </w:rPr>
              <w:t>, Hukuk</w:t>
            </w:r>
            <w:r>
              <w:rPr>
                <w:rFonts w:cs="Arial"/>
                <w:color w:val="auto"/>
                <w:sz w:val="20"/>
                <w:lang w:eastAsia="tr-TR"/>
              </w:rPr>
              <w:t xml:space="preserve"> Müşavirliği Bölümü, Operasyonlar Yönetimi Bölümü ve Operasyonlar Merkezi</w:t>
            </w:r>
          </w:p>
        </w:tc>
      </w:tr>
      <w:tr w:rsidR="00756420" w:rsidRPr="002F5032" w:rsidTr="0037548D">
        <w:trPr>
          <w:trHeight w:val="156"/>
        </w:trPr>
        <w:tc>
          <w:tcPr>
            <w:tcW w:w="3402" w:type="dxa"/>
            <w:tcBorders>
              <w:left w:val="nil"/>
              <w:right w:val="nil"/>
            </w:tcBorders>
            <w:shd w:val="clear" w:color="000000" w:fill="FFFFFF"/>
            <w:noWrap/>
          </w:tcPr>
          <w:p w:rsidR="00756420" w:rsidRPr="00C21058" w:rsidRDefault="00756420" w:rsidP="0037548D">
            <w:pPr>
              <w:spacing w:before="100" w:beforeAutospacing="1" w:after="100" w:afterAutospacing="1" w:line="228" w:lineRule="auto"/>
              <w:rPr>
                <w:rFonts w:cs="Arial"/>
                <w:color w:val="auto"/>
                <w:sz w:val="20"/>
                <w:highlight w:val="yellow"/>
                <w:lang w:eastAsia="tr-TR"/>
              </w:rPr>
            </w:pPr>
            <w:r w:rsidRPr="00945F44">
              <w:rPr>
                <w:rFonts w:cs="Arial"/>
                <w:color w:val="auto"/>
                <w:sz w:val="20"/>
                <w:lang w:eastAsia="tr-TR"/>
              </w:rPr>
              <w:t>Hüseyin H.İmece</w:t>
            </w:r>
          </w:p>
        </w:tc>
        <w:tc>
          <w:tcPr>
            <w:tcW w:w="5742" w:type="dxa"/>
            <w:tcBorders>
              <w:left w:val="nil"/>
              <w:right w:val="nil"/>
            </w:tcBorders>
            <w:shd w:val="clear" w:color="000000" w:fill="FFFFFF"/>
            <w:noWrap/>
            <w:vAlign w:val="bottom"/>
          </w:tcPr>
          <w:p w:rsidR="00756420" w:rsidRPr="002A7133" w:rsidRDefault="00756420" w:rsidP="0037548D">
            <w:pPr>
              <w:spacing w:before="100" w:beforeAutospacing="1" w:after="100" w:afterAutospacing="1" w:line="228" w:lineRule="auto"/>
              <w:rPr>
                <w:rFonts w:cs="Arial"/>
                <w:color w:val="auto"/>
                <w:sz w:val="20"/>
                <w:lang w:eastAsia="tr-TR"/>
              </w:rPr>
            </w:pPr>
            <w:r>
              <w:rPr>
                <w:rFonts w:cs="Arial"/>
                <w:color w:val="auto"/>
                <w:sz w:val="20"/>
                <w:lang w:eastAsia="tr-TR"/>
              </w:rPr>
              <w:t>Genel Müdür Vekili – Genel Müdür Yardımcısı</w:t>
            </w:r>
            <w:r w:rsidRPr="00C801B7">
              <w:rPr>
                <w:rFonts w:cs="Arial"/>
                <w:color w:val="auto"/>
                <w:sz w:val="20"/>
                <w:lang w:eastAsia="tr-TR"/>
              </w:rPr>
              <w:t xml:space="preserve"> -</w:t>
            </w:r>
            <w:r>
              <w:rPr>
                <w:rFonts w:cs="Arial"/>
                <w:color w:val="auto"/>
                <w:sz w:val="20"/>
                <w:lang w:eastAsia="tr-TR"/>
              </w:rPr>
              <w:t xml:space="preserve"> </w:t>
            </w:r>
            <w:r w:rsidRPr="00C801B7">
              <w:rPr>
                <w:rFonts w:cs="Arial"/>
                <w:color w:val="auto"/>
                <w:sz w:val="20"/>
                <w:lang w:eastAsia="tr-TR"/>
              </w:rPr>
              <w:t>Finansal Kontrol ve Muhasebe</w:t>
            </w:r>
            <w:r>
              <w:rPr>
                <w:rFonts w:cs="Arial"/>
                <w:color w:val="auto"/>
                <w:sz w:val="20"/>
                <w:lang w:eastAsia="tr-TR"/>
              </w:rPr>
              <w:t xml:space="preserve"> Bölümü</w:t>
            </w:r>
            <w:r w:rsidRPr="00C801B7">
              <w:rPr>
                <w:rFonts w:cs="Arial"/>
                <w:color w:val="auto"/>
                <w:sz w:val="20"/>
                <w:lang w:eastAsia="tr-TR"/>
              </w:rPr>
              <w:t>, Bilanço Yönetimi</w:t>
            </w:r>
            <w:r>
              <w:rPr>
                <w:rFonts w:cs="Arial"/>
                <w:color w:val="auto"/>
                <w:sz w:val="20"/>
                <w:lang w:eastAsia="tr-TR"/>
              </w:rPr>
              <w:t xml:space="preserve"> Bölümü</w:t>
            </w:r>
            <w:r w:rsidRPr="00C801B7">
              <w:rPr>
                <w:rFonts w:cs="Arial"/>
                <w:color w:val="auto"/>
                <w:sz w:val="20"/>
                <w:lang w:eastAsia="tr-TR"/>
              </w:rPr>
              <w:t>, Ekonomik Araştırmalar Bölümü</w:t>
            </w:r>
          </w:p>
        </w:tc>
      </w:tr>
      <w:tr w:rsidR="00756420" w:rsidRPr="002F5032" w:rsidTr="0037548D">
        <w:trPr>
          <w:trHeight w:val="255"/>
        </w:trPr>
        <w:tc>
          <w:tcPr>
            <w:tcW w:w="3402" w:type="dxa"/>
            <w:tcBorders>
              <w:left w:val="nil"/>
              <w:right w:val="nil"/>
            </w:tcBorders>
            <w:shd w:val="clear" w:color="000000" w:fill="FFFFFF"/>
            <w:noWrap/>
          </w:tcPr>
          <w:p w:rsidR="00756420" w:rsidRPr="00C21058" w:rsidRDefault="00756420" w:rsidP="0037548D">
            <w:pPr>
              <w:spacing w:before="100" w:beforeAutospacing="1" w:after="100" w:afterAutospacing="1" w:line="228" w:lineRule="auto"/>
              <w:rPr>
                <w:rFonts w:cs="Arial"/>
                <w:color w:val="auto"/>
                <w:sz w:val="20"/>
                <w:highlight w:val="yellow"/>
                <w:lang w:eastAsia="tr-TR"/>
              </w:rPr>
            </w:pPr>
            <w:r w:rsidRPr="00945F44">
              <w:rPr>
                <w:rFonts w:cs="Arial"/>
                <w:color w:val="auto"/>
                <w:sz w:val="20"/>
                <w:lang w:eastAsia="tr-TR"/>
              </w:rPr>
              <w:t>D.Halit Döver</w:t>
            </w:r>
          </w:p>
        </w:tc>
        <w:tc>
          <w:tcPr>
            <w:tcW w:w="5742" w:type="dxa"/>
            <w:tcBorders>
              <w:left w:val="nil"/>
              <w:right w:val="nil"/>
            </w:tcBorders>
            <w:shd w:val="clear" w:color="000000" w:fill="FFFFFF"/>
            <w:noWrap/>
            <w:vAlign w:val="bottom"/>
          </w:tcPr>
          <w:p w:rsidR="00756420" w:rsidRPr="00C801B7" w:rsidRDefault="00756420" w:rsidP="0037548D">
            <w:pPr>
              <w:spacing w:before="100" w:beforeAutospacing="1" w:after="100" w:afterAutospacing="1" w:line="228" w:lineRule="auto"/>
              <w:rPr>
                <w:rFonts w:cs="Arial"/>
                <w:color w:val="auto"/>
                <w:sz w:val="20"/>
                <w:lang w:eastAsia="tr-TR"/>
              </w:rPr>
            </w:pPr>
            <w:r w:rsidRPr="00C801B7">
              <w:rPr>
                <w:rFonts w:cs="Arial"/>
                <w:color w:val="auto"/>
                <w:sz w:val="20"/>
                <w:lang w:eastAsia="tr-TR"/>
              </w:rPr>
              <w:t>Genel Müdür Yardımcısı</w:t>
            </w:r>
            <w:r>
              <w:rPr>
                <w:rFonts w:cs="Arial"/>
                <w:color w:val="auto"/>
                <w:sz w:val="20"/>
                <w:lang w:eastAsia="tr-TR"/>
              </w:rPr>
              <w:t xml:space="preserve"> </w:t>
            </w:r>
            <w:r w:rsidRPr="00C801B7">
              <w:rPr>
                <w:rFonts w:cs="Arial"/>
                <w:color w:val="auto"/>
                <w:sz w:val="20"/>
                <w:lang w:eastAsia="tr-TR"/>
              </w:rPr>
              <w:t>-</w:t>
            </w:r>
            <w:r>
              <w:rPr>
                <w:rFonts w:cs="Arial"/>
                <w:color w:val="auto"/>
                <w:sz w:val="20"/>
                <w:lang w:eastAsia="tr-TR"/>
              </w:rPr>
              <w:t xml:space="preserve"> </w:t>
            </w:r>
            <w:r w:rsidRPr="00C801B7">
              <w:rPr>
                <w:rFonts w:cs="Arial"/>
                <w:color w:val="auto"/>
                <w:sz w:val="20"/>
                <w:lang w:eastAsia="tr-TR"/>
              </w:rPr>
              <w:t xml:space="preserve">Uluslararası </w:t>
            </w:r>
            <w:r>
              <w:rPr>
                <w:rFonts w:cs="Arial"/>
                <w:color w:val="auto"/>
                <w:sz w:val="20"/>
                <w:lang w:eastAsia="tr-TR"/>
              </w:rPr>
              <w:t>İşlemler Bölümü</w:t>
            </w:r>
            <w:r w:rsidRPr="00C801B7">
              <w:rPr>
                <w:rFonts w:cs="Arial"/>
                <w:color w:val="auto"/>
                <w:sz w:val="20"/>
                <w:lang w:eastAsia="tr-TR"/>
              </w:rPr>
              <w:t>, Finansal Kurumlar</w:t>
            </w:r>
            <w:r>
              <w:rPr>
                <w:rFonts w:cs="Arial"/>
                <w:color w:val="auto"/>
                <w:sz w:val="20"/>
                <w:lang w:eastAsia="tr-TR"/>
              </w:rPr>
              <w:t xml:space="preserve"> Bölümü</w:t>
            </w:r>
            <w:r w:rsidRPr="00C801B7">
              <w:rPr>
                <w:rFonts w:cs="Arial"/>
                <w:color w:val="auto"/>
                <w:sz w:val="20"/>
                <w:lang w:eastAsia="tr-TR"/>
              </w:rPr>
              <w:t>, Finansal Pazarlar</w:t>
            </w:r>
            <w:r>
              <w:rPr>
                <w:rFonts w:cs="Arial"/>
                <w:color w:val="auto"/>
                <w:sz w:val="20"/>
                <w:lang w:eastAsia="tr-TR"/>
              </w:rPr>
              <w:t xml:space="preserve"> Bölümü</w:t>
            </w:r>
            <w:r w:rsidRPr="00C801B7">
              <w:rPr>
                <w:rFonts w:cs="Arial"/>
                <w:color w:val="auto"/>
                <w:sz w:val="20"/>
                <w:lang w:eastAsia="tr-TR"/>
              </w:rPr>
              <w:t xml:space="preserve"> ve Kurumsal Bankacılık Bölümü</w:t>
            </w:r>
          </w:p>
        </w:tc>
      </w:tr>
      <w:tr w:rsidR="00756420" w:rsidRPr="002F5032" w:rsidTr="0037548D">
        <w:trPr>
          <w:trHeight w:val="255"/>
        </w:trPr>
        <w:tc>
          <w:tcPr>
            <w:tcW w:w="3402" w:type="dxa"/>
            <w:tcBorders>
              <w:left w:val="nil"/>
              <w:bottom w:val="double" w:sz="4" w:space="0" w:color="auto"/>
              <w:right w:val="nil"/>
            </w:tcBorders>
            <w:shd w:val="clear" w:color="000000" w:fill="FFFFFF"/>
            <w:noWrap/>
          </w:tcPr>
          <w:p w:rsidR="00756420" w:rsidRPr="00945F44" w:rsidRDefault="00756420" w:rsidP="0037548D">
            <w:pPr>
              <w:spacing w:before="100" w:beforeAutospacing="1" w:after="100" w:afterAutospacing="1" w:line="228" w:lineRule="auto"/>
              <w:rPr>
                <w:rFonts w:cs="Arial"/>
                <w:color w:val="auto"/>
                <w:sz w:val="20"/>
                <w:lang w:eastAsia="tr-TR"/>
              </w:rPr>
            </w:pPr>
            <w:r w:rsidRPr="00945F44">
              <w:rPr>
                <w:rFonts w:cs="Arial"/>
                <w:color w:val="auto"/>
                <w:sz w:val="20"/>
                <w:lang w:eastAsia="tr-TR"/>
              </w:rPr>
              <w:t>Kadir Karakurum</w:t>
            </w:r>
          </w:p>
        </w:tc>
        <w:tc>
          <w:tcPr>
            <w:tcW w:w="5742" w:type="dxa"/>
            <w:tcBorders>
              <w:left w:val="nil"/>
              <w:bottom w:val="double" w:sz="4" w:space="0" w:color="auto"/>
              <w:right w:val="nil"/>
            </w:tcBorders>
            <w:shd w:val="clear" w:color="000000" w:fill="FFFFFF"/>
            <w:noWrap/>
            <w:vAlign w:val="bottom"/>
          </w:tcPr>
          <w:p w:rsidR="00756420" w:rsidRPr="00840104" w:rsidRDefault="00756420" w:rsidP="0037548D">
            <w:pPr>
              <w:spacing w:before="100" w:beforeAutospacing="1" w:after="100" w:afterAutospacing="1" w:line="228" w:lineRule="auto"/>
              <w:rPr>
                <w:rFonts w:cs="Arial"/>
                <w:color w:val="auto"/>
                <w:sz w:val="20"/>
                <w:lang w:eastAsia="tr-TR"/>
              </w:rPr>
            </w:pPr>
            <w:r>
              <w:rPr>
                <w:rFonts w:cs="Arial"/>
                <w:color w:val="auto"/>
                <w:sz w:val="20"/>
                <w:lang w:eastAsia="tr-TR"/>
              </w:rPr>
              <w:t>Genel Müdür Vekili – Genel Müdür Yardımcısı -</w:t>
            </w:r>
            <w:r w:rsidRPr="00C801B7">
              <w:rPr>
                <w:rFonts w:cs="Arial"/>
                <w:color w:val="auto"/>
                <w:sz w:val="20"/>
                <w:lang w:eastAsia="tr-TR"/>
              </w:rPr>
              <w:t xml:space="preserve"> Dijital Bankacılık</w:t>
            </w:r>
            <w:r>
              <w:rPr>
                <w:rFonts w:cs="Arial"/>
                <w:color w:val="auto"/>
                <w:sz w:val="20"/>
                <w:lang w:eastAsia="tr-TR"/>
              </w:rPr>
              <w:t xml:space="preserve"> Bölümü</w:t>
            </w:r>
            <w:r w:rsidRPr="00C801B7">
              <w:rPr>
                <w:rFonts w:cs="Arial"/>
                <w:color w:val="auto"/>
                <w:sz w:val="20"/>
                <w:lang w:eastAsia="tr-TR"/>
              </w:rPr>
              <w:t>, Finansal Teknoloji</w:t>
            </w:r>
            <w:r>
              <w:rPr>
                <w:rFonts w:cs="Arial"/>
                <w:color w:val="auto"/>
                <w:sz w:val="20"/>
                <w:lang w:eastAsia="tr-TR"/>
              </w:rPr>
              <w:t xml:space="preserve"> Bölümü</w:t>
            </w:r>
            <w:r w:rsidRPr="00C801B7">
              <w:rPr>
                <w:rFonts w:cs="Arial"/>
                <w:color w:val="auto"/>
                <w:sz w:val="20"/>
                <w:lang w:eastAsia="tr-TR"/>
              </w:rPr>
              <w:t>, Teknoloji Merkezi, İdari İşler</w:t>
            </w:r>
            <w:r>
              <w:rPr>
                <w:rFonts w:cs="Arial"/>
                <w:color w:val="auto"/>
                <w:sz w:val="20"/>
                <w:lang w:eastAsia="tr-TR"/>
              </w:rPr>
              <w:t xml:space="preserve"> Merkezi</w:t>
            </w:r>
            <w:r w:rsidRPr="00C801B7">
              <w:rPr>
                <w:rFonts w:cs="Arial"/>
                <w:color w:val="auto"/>
                <w:sz w:val="20"/>
                <w:lang w:eastAsia="tr-TR"/>
              </w:rPr>
              <w:t xml:space="preserve"> ve Yönetim Ofisi Halkla İlişkiler</w:t>
            </w:r>
            <w:r>
              <w:rPr>
                <w:rFonts w:cs="Arial"/>
                <w:color w:val="auto"/>
                <w:sz w:val="20"/>
                <w:lang w:eastAsia="tr-TR"/>
              </w:rPr>
              <w:t xml:space="preserve"> ve Reklam Bölümü</w:t>
            </w:r>
          </w:p>
        </w:tc>
      </w:tr>
    </w:tbl>
    <w:p w:rsidR="00756420" w:rsidRDefault="00756420" w:rsidP="00756420">
      <w:pPr>
        <w:ind w:right="-284"/>
        <w:jc w:val="both"/>
        <w:rPr>
          <w:color w:val="333333"/>
          <w:sz w:val="14"/>
          <w:szCs w:val="14"/>
        </w:rPr>
      </w:pPr>
      <w:r w:rsidRPr="00407EB7">
        <w:rPr>
          <w:noProof/>
          <w:sz w:val="14"/>
          <w:szCs w:val="14"/>
          <w:vertAlign w:val="superscript"/>
          <w:lang w:eastAsia="tr-TR"/>
        </w:rPr>
        <w:t xml:space="preserve">(*) </w:t>
      </w:r>
      <w:r w:rsidRPr="00407EB7">
        <w:rPr>
          <w:color w:val="333333"/>
          <w:sz w:val="14"/>
          <w:szCs w:val="14"/>
        </w:rPr>
        <w:t xml:space="preserve">Genel Müdür </w:t>
      </w:r>
      <w:r>
        <w:rPr>
          <w:color w:val="333333"/>
          <w:sz w:val="14"/>
          <w:szCs w:val="14"/>
        </w:rPr>
        <w:t xml:space="preserve">Sayın </w:t>
      </w:r>
      <w:r w:rsidRPr="00407EB7">
        <w:rPr>
          <w:color w:val="333333"/>
          <w:sz w:val="14"/>
          <w:szCs w:val="14"/>
        </w:rPr>
        <w:t xml:space="preserve">Shaoxiong Xie’nin 10 Ocak 2022 tarihi itibarıyla Bankamızdan ayrılması sonrasında, </w:t>
      </w:r>
      <w:r>
        <w:rPr>
          <w:color w:val="333333"/>
          <w:sz w:val="14"/>
          <w:szCs w:val="14"/>
        </w:rPr>
        <w:t xml:space="preserve">Sayın </w:t>
      </w:r>
      <w:r w:rsidRPr="00407EB7">
        <w:rPr>
          <w:color w:val="333333"/>
          <w:sz w:val="14"/>
          <w:szCs w:val="14"/>
        </w:rPr>
        <w:t>Jinhong Li, Bankacılık Kanunu’nun 23. Maddesine göre, Genel Müdür’ün yokluğunda, Genel Müdür Vekili sıfatıyla, 10 Ocak 2022 tarihi itibarıyla Genel Müdür Vekilliği ve doğal Yönetim Kurulu üyesi, Kredi Komitesi Başkan Yardımcılığı ve Yönetim Kurulu Risk Yönetim Komitesi üyeliği görevlerini vekâleten yürütmüştür.</w:t>
      </w:r>
      <w:r>
        <w:rPr>
          <w:color w:val="333333"/>
          <w:sz w:val="14"/>
          <w:szCs w:val="14"/>
        </w:rPr>
        <w:t xml:space="preserve"> 9 Mayıs 2022 tarihi itibarıyla Genel Müdür Vekili Sayın Chunyi Zheng, Sayın Jinhong Li’nin vekaleten yürütmekte olduğu Genel Müdürlük, doğal Yönetim Kurulu üyeliği, Kredi Komitesi Başkan Yardımcılığı ve Yönetim Kurulu Risk Yönetim Komitesi üyeliği görevlerini Genel Müdür Vekili sıfatıyla devralmıştır. </w:t>
      </w:r>
    </w:p>
    <w:p w:rsidR="00756420" w:rsidRPr="00AE1FB9" w:rsidRDefault="00756420" w:rsidP="00756420">
      <w:pPr>
        <w:ind w:right="-284"/>
        <w:jc w:val="both"/>
        <w:rPr>
          <w:color w:val="333333"/>
          <w:sz w:val="14"/>
          <w:szCs w:val="14"/>
        </w:rPr>
      </w:pPr>
      <w:r w:rsidRPr="00407EB7">
        <w:rPr>
          <w:noProof/>
          <w:sz w:val="14"/>
          <w:szCs w:val="14"/>
          <w:vertAlign w:val="superscript"/>
          <w:lang w:eastAsia="tr-TR"/>
        </w:rPr>
        <w:t>(*</w:t>
      </w:r>
      <w:r>
        <w:rPr>
          <w:noProof/>
          <w:sz w:val="14"/>
          <w:szCs w:val="14"/>
          <w:vertAlign w:val="superscript"/>
          <w:lang w:eastAsia="tr-TR"/>
        </w:rPr>
        <w:t>*</w:t>
      </w:r>
      <w:r w:rsidRPr="00407EB7">
        <w:rPr>
          <w:noProof/>
          <w:sz w:val="14"/>
          <w:szCs w:val="14"/>
          <w:vertAlign w:val="superscript"/>
          <w:lang w:eastAsia="tr-TR"/>
        </w:rPr>
        <w:t>)</w:t>
      </w:r>
      <w:r w:rsidRPr="00407EB7">
        <w:rPr>
          <w:color w:val="333333"/>
          <w:sz w:val="14"/>
          <w:szCs w:val="14"/>
        </w:rPr>
        <w:t xml:space="preserve">1 Nisan 2022 tarihinden itibaren geçerli olmak üzere </w:t>
      </w:r>
      <w:r>
        <w:rPr>
          <w:color w:val="333333"/>
          <w:sz w:val="14"/>
          <w:szCs w:val="14"/>
        </w:rPr>
        <w:t xml:space="preserve">Sayın </w:t>
      </w:r>
      <w:r w:rsidRPr="00407EB7">
        <w:rPr>
          <w:color w:val="333333"/>
          <w:sz w:val="14"/>
          <w:szCs w:val="14"/>
        </w:rPr>
        <w:t>Chunyi Zheng Proje ve C</w:t>
      </w:r>
      <w:r>
        <w:rPr>
          <w:color w:val="333333"/>
          <w:sz w:val="14"/>
          <w:szCs w:val="14"/>
        </w:rPr>
        <w:t>ro</w:t>
      </w:r>
      <w:r w:rsidRPr="00407EB7">
        <w:rPr>
          <w:color w:val="333333"/>
          <w:sz w:val="14"/>
          <w:szCs w:val="14"/>
        </w:rPr>
        <w:t>ss Border, Perakende Bankacılık, Yönetim Ofisi Genel Sekreterlik, Kredi ve Yatırım Yönetimi, Yatırım Bankacılığı bölümlerinden sorumlu Genel Müdür Vekili ve Genel Müdür Yardımcısı olarak atanmıştır</w:t>
      </w:r>
      <w:r>
        <w:rPr>
          <w:color w:val="333333"/>
          <w:sz w:val="14"/>
          <w:szCs w:val="14"/>
        </w:rPr>
        <w:t>.</w:t>
      </w:r>
    </w:p>
    <w:p w:rsidR="00E47B25" w:rsidRDefault="00E47B25">
      <w:pPr>
        <w:spacing w:before="0" w:after="200" w:line="276" w:lineRule="auto"/>
      </w:pPr>
      <w:r>
        <w:br w:type="page"/>
      </w:r>
    </w:p>
    <w:p w:rsidR="006F376B" w:rsidRPr="000B5690" w:rsidRDefault="006F376B" w:rsidP="006F376B">
      <w:pPr>
        <w:pStyle w:val="Heading1"/>
        <w:spacing w:before="240" w:after="240"/>
        <w:ind w:right="-425"/>
      </w:pPr>
      <w:r w:rsidRPr="000B5690">
        <w:lastRenderedPageBreak/>
        <w:t>İştirakler ve Bağlı Ortaklıklar Hakkında Bilgiler</w:t>
      </w:r>
    </w:p>
    <w:tbl>
      <w:tblPr>
        <w:tblW w:w="9076" w:type="dxa"/>
        <w:tblInd w:w="70" w:type="dxa"/>
        <w:tblLayout w:type="fixed"/>
        <w:tblCellMar>
          <w:left w:w="70" w:type="dxa"/>
          <w:right w:w="70" w:type="dxa"/>
        </w:tblCellMar>
        <w:tblLook w:val="04A0" w:firstRow="1" w:lastRow="0" w:firstColumn="1" w:lastColumn="0" w:noHBand="0" w:noVBand="1"/>
      </w:tblPr>
      <w:tblGrid>
        <w:gridCol w:w="1675"/>
        <w:gridCol w:w="4190"/>
        <w:gridCol w:w="2234"/>
        <w:gridCol w:w="977"/>
      </w:tblGrid>
      <w:tr w:rsidR="006F376B" w:rsidRPr="000B5690" w:rsidTr="00CA2772">
        <w:trPr>
          <w:trHeight w:val="278"/>
        </w:trPr>
        <w:tc>
          <w:tcPr>
            <w:tcW w:w="1675" w:type="dxa"/>
            <w:tcBorders>
              <w:top w:val="single" w:sz="4" w:space="0" w:color="auto"/>
              <w:left w:val="nil"/>
              <w:bottom w:val="single" w:sz="4" w:space="0" w:color="auto"/>
              <w:right w:val="nil"/>
            </w:tcBorders>
            <w:shd w:val="clear" w:color="000000" w:fill="FAC090"/>
            <w:noWrap/>
            <w:vAlign w:val="center"/>
            <w:hideMark/>
          </w:tcPr>
          <w:p w:rsidR="006F376B" w:rsidRPr="000B5690" w:rsidRDefault="006F376B" w:rsidP="00CA2772">
            <w:pPr>
              <w:spacing w:after="0"/>
              <w:ind w:left="57" w:right="-425"/>
              <w:rPr>
                <w:rFonts w:cs="Arial"/>
                <w:b/>
                <w:bCs/>
                <w:szCs w:val="22"/>
                <w:lang w:eastAsia="tr-TR"/>
              </w:rPr>
            </w:pPr>
            <w:r w:rsidRPr="000B5690">
              <w:rPr>
                <w:rFonts w:cs="Arial"/>
                <w:b/>
                <w:bCs/>
                <w:szCs w:val="22"/>
                <w:lang w:eastAsia="tr-TR"/>
              </w:rPr>
              <w:t>Şirket</w:t>
            </w:r>
          </w:p>
        </w:tc>
        <w:tc>
          <w:tcPr>
            <w:tcW w:w="4190" w:type="dxa"/>
            <w:tcBorders>
              <w:top w:val="single" w:sz="4" w:space="0" w:color="auto"/>
              <w:left w:val="nil"/>
              <w:bottom w:val="single" w:sz="4" w:space="0" w:color="auto"/>
              <w:right w:val="nil"/>
            </w:tcBorders>
            <w:shd w:val="clear" w:color="000000" w:fill="FAC090"/>
            <w:noWrap/>
            <w:vAlign w:val="center"/>
            <w:hideMark/>
          </w:tcPr>
          <w:p w:rsidR="006F376B" w:rsidRPr="000B5690" w:rsidRDefault="006F376B" w:rsidP="00CA2772">
            <w:pPr>
              <w:spacing w:after="0"/>
              <w:ind w:left="57" w:right="-425"/>
              <w:rPr>
                <w:rFonts w:cs="Arial"/>
                <w:b/>
                <w:bCs/>
                <w:szCs w:val="22"/>
                <w:lang w:eastAsia="tr-TR"/>
              </w:rPr>
            </w:pPr>
            <w:r w:rsidRPr="000B5690">
              <w:rPr>
                <w:rFonts w:cs="Arial"/>
                <w:b/>
                <w:bCs/>
                <w:szCs w:val="22"/>
                <w:lang w:eastAsia="tr-TR"/>
              </w:rPr>
              <w:t>Bağlı Ortaklıklar</w:t>
            </w:r>
          </w:p>
        </w:tc>
        <w:tc>
          <w:tcPr>
            <w:tcW w:w="2234" w:type="dxa"/>
            <w:tcBorders>
              <w:top w:val="single" w:sz="4" w:space="0" w:color="auto"/>
              <w:left w:val="nil"/>
              <w:bottom w:val="single" w:sz="4" w:space="0" w:color="auto"/>
              <w:right w:val="nil"/>
            </w:tcBorders>
            <w:shd w:val="clear" w:color="000000" w:fill="FAC090"/>
            <w:noWrap/>
            <w:vAlign w:val="center"/>
            <w:hideMark/>
          </w:tcPr>
          <w:p w:rsidR="006F376B" w:rsidRPr="000B5690" w:rsidRDefault="006F376B" w:rsidP="00CA2772">
            <w:pPr>
              <w:spacing w:after="0"/>
              <w:ind w:left="57" w:right="-425"/>
              <w:rPr>
                <w:rFonts w:cs="Arial"/>
                <w:b/>
                <w:bCs/>
                <w:szCs w:val="22"/>
                <w:lang w:eastAsia="tr-TR"/>
              </w:rPr>
            </w:pPr>
            <w:r w:rsidRPr="000B5690">
              <w:rPr>
                <w:rFonts w:cs="Arial"/>
                <w:b/>
                <w:bCs/>
                <w:szCs w:val="22"/>
                <w:lang w:eastAsia="tr-TR"/>
              </w:rPr>
              <w:t>Faaliyet Konusu</w:t>
            </w:r>
          </w:p>
        </w:tc>
        <w:tc>
          <w:tcPr>
            <w:tcW w:w="977" w:type="dxa"/>
            <w:tcBorders>
              <w:top w:val="single" w:sz="4" w:space="0" w:color="auto"/>
              <w:left w:val="nil"/>
              <w:bottom w:val="single" w:sz="4" w:space="0" w:color="auto"/>
              <w:right w:val="nil"/>
            </w:tcBorders>
            <w:shd w:val="clear" w:color="000000" w:fill="FAC090"/>
            <w:noWrap/>
            <w:vAlign w:val="center"/>
            <w:hideMark/>
          </w:tcPr>
          <w:p w:rsidR="006F376B" w:rsidRPr="000B5690" w:rsidRDefault="006F376B" w:rsidP="00CA2772">
            <w:pPr>
              <w:spacing w:after="0"/>
              <w:ind w:left="57" w:right="-425"/>
              <w:rPr>
                <w:rFonts w:cs="Arial"/>
                <w:b/>
                <w:bCs/>
                <w:szCs w:val="22"/>
                <w:lang w:eastAsia="tr-TR"/>
              </w:rPr>
            </w:pPr>
            <w:r w:rsidRPr="000B5690">
              <w:rPr>
                <w:rFonts w:cs="Arial"/>
                <w:b/>
                <w:bCs/>
                <w:szCs w:val="22"/>
                <w:lang w:eastAsia="tr-TR"/>
              </w:rPr>
              <w:t>Pay %</w:t>
            </w:r>
          </w:p>
        </w:tc>
      </w:tr>
      <w:tr w:rsidR="006F376B" w:rsidRPr="00945F44" w:rsidTr="00CA2772">
        <w:trPr>
          <w:trHeight w:val="576"/>
        </w:trPr>
        <w:tc>
          <w:tcPr>
            <w:tcW w:w="1675" w:type="dxa"/>
            <w:tcBorders>
              <w:top w:val="single" w:sz="4" w:space="0" w:color="auto"/>
              <w:left w:val="nil"/>
              <w:bottom w:val="single" w:sz="4" w:space="0" w:color="auto"/>
              <w:right w:val="nil"/>
            </w:tcBorders>
            <w:shd w:val="clear" w:color="000000" w:fill="FFFFFF"/>
            <w:vAlign w:val="center"/>
          </w:tcPr>
          <w:p w:rsidR="006F376B" w:rsidRPr="00945F44" w:rsidRDefault="006F376B" w:rsidP="00AE29B5">
            <w:pPr>
              <w:spacing w:before="0" w:after="0"/>
              <w:ind w:right="-425"/>
              <w:rPr>
                <w:rFonts w:cs="Arial"/>
                <w:sz w:val="20"/>
                <w:szCs w:val="20"/>
                <w:lang w:eastAsia="tr-TR"/>
              </w:rPr>
            </w:pPr>
            <w:r w:rsidRPr="00945F44">
              <w:rPr>
                <w:rFonts w:cs="Arial"/>
                <w:sz w:val="20"/>
                <w:szCs w:val="20"/>
                <w:lang w:eastAsia="tr-TR"/>
              </w:rPr>
              <w:t>Finans Sektörü</w:t>
            </w:r>
          </w:p>
        </w:tc>
        <w:tc>
          <w:tcPr>
            <w:tcW w:w="4190" w:type="dxa"/>
            <w:tcBorders>
              <w:top w:val="single" w:sz="4" w:space="0" w:color="auto"/>
              <w:left w:val="nil"/>
              <w:bottom w:val="single" w:sz="4" w:space="0" w:color="auto"/>
              <w:right w:val="nil"/>
            </w:tcBorders>
            <w:shd w:val="clear" w:color="000000" w:fill="FFFFFF"/>
            <w:vAlign w:val="center"/>
          </w:tcPr>
          <w:p w:rsidR="006F376B" w:rsidRPr="00945F44" w:rsidRDefault="006F376B" w:rsidP="00AE29B5">
            <w:pPr>
              <w:spacing w:before="0" w:after="0"/>
              <w:ind w:left="57" w:right="-425"/>
              <w:rPr>
                <w:rFonts w:cs="Arial"/>
                <w:sz w:val="20"/>
                <w:szCs w:val="20"/>
                <w:lang w:eastAsia="tr-TR"/>
              </w:rPr>
            </w:pPr>
            <w:r w:rsidRPr="00945F44">
              <w:rPr>
                <w:rFonts w:cs="Arial"/>
                <w:sz w:val="20"/>
                <w:szCs w:val="20"/>
                <w:lang w:eastAsia="tr-TR"/>
              </w:rPr>
              <w:t>ICBC Turkey</w:t>
            </w:r>
          </w:p>
          <w:p w:rsidR="006F376B" w:rsidRPr="00945F44" w:rsidRDefault="006F376B" w:rsidP="00AE29B5">
            <w:pPr>
              <w:spacing w:before="0" w:after="0"/>
              <w:ind w:left="57" w:right="-425"/>
              <w:rPr>
                <w:rFonts w:cs="Arial"/>
                <w:sz w:val="20"/>
                <w:szCs w:val="20"/>
                <w:lang w:eastAsia="tr-TR"/>
              </w:rPr>
            </w:pPr>
            <w:r w:rsidRPr="00945F44">
              <w:rPr>
                <w:rFonts w:cs="Arial"/>
                <w:sz w:val="20"/>
                <w:szCs w:val="20"/>
                <w:lang w:eastAsia="tr-TR"/>
              </w:rPr>
              <w:t>Yatırım Menkul Değerler A.Ş.</w:t>
            </w:r>
          </w:p>
        </w:tc>
        <w:tc>
          <w:tcPr>
            <w:tcW w:w="2234" w:type="dxa"/>
            <w:tcBorders>
              <w:top w:val="single" w:sz="4" w:space="0" w:color="auto"/>
              <w:left w:val="nil"/>
              <w:bottom w:val="single" w:sz="4" w:space="0" w:color="auto"/>
              <w:right w:val="nil"/>
            </w:tcBorders>
            <w:shd w:val="clear" w:color="000000" w:fill="FFFFFF"/>
            <w:vAlign w:val="center"/>
          </w:tcPr>
          <w:p w:rsidR="006F376B" w:rsidRPr="00945F44" w:rsidRDefault="006F376B" w:rsidP="00AE29B5">
            <w:pPr>
              <w:spacing w:before="0" w:after="0"/>
              <w:ind w:left="57" w:right="-425"/>
              <w:rPr>
                <w:rFonts w:cs="Arial"/>
                <w:sz w:val="20"/>
                <w:szCs w:val="20"/>
                <w:lang w:eastAsia="tr-TR"/>
              </w:rPr>
            </w:pPr>
            <w:r w:rsidRPr="00945F44">
              <w:rPr>
                <w:rFonts w:cs="Arial"/>
                <w:sz w:val="20"/>
                <w:szCs w:val="20"/>
                <w:lang w:eastAsia="tr-TR"/>
              </w:rPr>
              <w:t>Borsa Aracılık Hizmetleri</w:t>
            </w:r>
          </w:p>
        </w:tc>
        <w:tc>
          <w:tcPr>
            <w:tcW w:w="977" w:type="dxa"/>
            <w:tcBorders>
              <w:top w:val="single" w:sz="4" w:space="0" w:color="auto"/>
              <w:left w:val="nil"/>
              <w:bottom w:val="single" w:sz="4" w:space="0" w:color="auto"/>
              <w:right w:val="nil"/>
            </w:tcBorders>
            <w:shd w:val="clear" w:color="000000" w:fill="FFFFFF"/>
            <w:vAlign w:val="center"/>
          </w:tcPr>
          <w:p w:rsidR="006F376B" w:rsidRPr="00945F44" w:rsidRDefault="006F376B" w:rsidP="00AE29B5">
            <w:pPr>
              <w:spacing w:before="0" w:after="0"/>
              <w:ind w:left="57" w:right="-425"/>
              <w:rPr>
                <w:rFonts w:cs="Arial"/>
                <w:sz w:val="20"/>
                <w:szCs w:val="20"/>
                <w:lang w:eastAsia="tr-TR"/>
              </w:rPr>
            </w:pPr>
            <w:r w:rsidRPr="00945F44">
              <w:rPr>
                <w:rFonts w:cs="Arial"/>
                <w:sz w:val="20"/>
                <w:szCs w:val="20"/>
                <w:lang w:eastAsia="tr-TR"/>
              </w:rPr>
              <w:t>99.998</w:t>
            </w:r>
          </w:p>
        </w:tc>
      </w:tr>
    </w:tbl>
    <w:p w:rsidR="006F376B" w:rsidRDefault="006F376B" w:rsidP="002A43C0">
      <w:pPr>
        <w:pStyle w:val="NormalWeb"/>
        <w:spacing w:before="120" w:beforeAutospacing="0" w:after="120" w:afterAutospacing="0" w:line="216" w:lineRule="auto"/>
        <w:ind w:right="-425"/>
        <w:jc w:val="both"/>
        <w:rPr>
          <w:szCs w:val="22"/>
        </w:rPr>
      </w:pPr>
      <w:r w:rsidRPr="00945F44">
        <w:rPr>
          <w:szCs w:val="22"/>
        </w:rPr>
        <w:t xml:space="preserve">Tekstil Yatırım Menkul Değerler A.Ş. 1996 yılında İstanbul’da kurulmuştur. Şirket, Sermaye Piyasası Kanunu ve ilgili mevzuat hükümleri kapsamında sermaye piyasası faaliyetleri gerçekleştirmektedir. ICBC Turkey Yatırım, sermaye piyasası ürünlerinde aracılık hizmeti vermekte, farklı risk ve getiri kategorilerindeki yatırım fonları ve portföy yönetimi alternatifleri sunmaktadır. Kurumsal müşterilere, özel sektör tahvili ve finansman bonosu ihraçları ile finansman çözümleri yaratan ICBC Turkey Yatırım, halka arz faaliyetleri ile de yatırımcı ve kurumların buluşmasına zemin hazırlamaktadır. Deneyimli araştırma ekibi ile müşterilerine günlük, haftalık raporlar ve hisse senedi analizleri hizmeti </w:t>
      </w:r>
      <w:r w:rsidRPr="008714EC">
        <w:rPr>
          <w:szCs w:val="22"/>
        </w:rPr>
        <w:t>sunan ICBC Turkey Yatırım, 2</w:t>
      </w:r>
      <w:r>
        <w:rPr>
          <w:szCs w:val="22"/>
        </w:rPr>
        <w:t>0</w:t>
      </w:r>
      <w:r w:rsidRPr="008714EC">
        <w:rPr>
          <w:szCs w:val="22"/>
        </w:rPr>
        <w:t xml:space="preserve"> şubesi ile daha geniş müşteri kitlelerine yardımcı olmaktadır.</w:t>
      </w:r>
      <w:r w:rsidRPr="000B5690">
        <w:rPr>
          <w:szCs w:val="22"/>
        </w:rPr>
        <w:t> </w:t>
      </w:r>
    </w:p>
    <w:p w:rsidR="006F376B" w:rsidRPr="000B5690" w:rsidRDefault="006F376B" w:rsidP="006F376B">
      <w:pPr>
        <w:pStyle w:val="Heading1"/>
        <w:spacing w:before="120" w:after="240"/>
      </w:pPr>
      <w:r w:rsidRPr="000B5690">
        <w:t>Konsolide Seçilmiş Finansal Göstergeler</w:t>
      </w:r>
    </w:p>
    <w:tbl>
      <w:tblPr>
        <w:tblW w:w="9214" w:type="dxa"/>
        <w:tblInd w:w="70" w:type="dxa"/>
        <w:tblCellMar>
          <w:left w:w="70" w:type="dxa"/>
          <w:right w:w="70" w:type="dxa"/>
        </w:tblCellMar>
        <w:tblLook w:val="04A0" w:firstRow="1" w:lastRow="0" w:firstColumn="1" w:lastColumn="0" w:noHBand="0" w:noVBand="1"/>
      </w:tblPr>
      <w:tblGrid>
        <w:gridCol w:w="4284"/>
        <w:gridCol w:w="1999"/>
        <w:gridCol w:w="1665"/>
        <w:gridCol w:w="1266"/>
      </w:tblGrid>
      <w:tr w:rsidR="008C780F" w:rsidRPr="008C780F" w:rsidTr="001C351D">
        <w:trPr>
          <w:trHeight w:val="283"/>
        </w:trPr>
        <w:tc>
          <w:tcPr>
            <w:tcW w:w="4284" w:type="dxa"/>
            <w:tcBorders>
              <w:top w:val="single" w:sz="4" w:space="0" w:color="auto"/>
              <w:left w:val="nil"/>
              <w:bottom w:val="single" w:sz="4" w:space="0" w:color="auto"/>
              <w:right w:val="nil"/>
            </w:tcBorders>
            <w:shd w:val="clear" w:color="000000" w:fill="FFCC99"/>
            <w:vAlign w:val="bottom"/>
            <w:hideMark/>
          </w:tcPr>
          <w:p w:rsidR="008C780F" w:rsidRPr="008C780F" w:rsidRDefault="008C780F" w:rsidP="003A6A74">
            <w:pPr>
              <w:spacing w:before="0" w:after="0"/>
              <w:rPr>
                <w:rFonts w:cs="Arial"/>
                <w:b/>
                <w:bCs/>
                <w:color w:val="auto"/>
                <w:szCs w:val="22"/>
                <w:lang w:eastAsia="tr-TR"/>
              </w:rPr>
            </w:pPr>
            <w:r w:rsidRPr="008C780F">
              <w:rPr>
                <w:rFonts w:cs="Arial"/>
                <w:b/>
                <w:bCs/>
                <w:color w:val="auto"/>
                <w:szCs w:val="22"/>
                <w:lang w:eastAsia="tr-TR"/>
              </w:rPr>
              <w:t>Finansal Büyüklükler (Milyon TL)</w:t>
            </w:r>
          </w:p>
        </w:tc>
        <w:tc>
          <w:tcPr>
            <w:tcW w:w="1999" w:type="dxa"/>
            <w:tcBorders>
              <w:top w:val="single" w:sz="4" w:space="0" w:color="auto"/>
              <w:left w:val="nil"/>
              <w:bottom w:val="single" w:sz="4" w:space="0" w:color="auto"/>
              <w:right w:val="nil"/>
            </w:tcBorders>
            <w:shd w:val="clear" w:color="000000" w:fill="FFCC99"/>
            <w:noWrap/>
            <w:vAlign w:val="bottom"/>
            <w:hideMark/>
          </w:tcPr>
          <w:p w:rsidR="008C780F" w:rsidRPr="008C780F" w:rsidRDefault="008C780F" w:rsidP="00DA6596">
            <w:pPr>
              <w:spacing w:before="0" w:after="0"/>
              <w:jc w:val="right"/>
              <w:rPr>
                <w:rFonts w:cs="Arial"/>
                <w:b/>
                <w:bCs/>
                <w:color w:val="auto"/>
                <w:szCs w:val="22"/>
                <w:lang w:eastAsia="tr-TR"/>
              </w:rPr>
            </w:pPr>
            <w:r w:rsidRPr="008C780F">
              <w:rPr>
                <w:rFonts w:cs="Arial"/>
                <w:b/>
                <w:bCs/>
                <w:color w:val="auto"/>
                <w:szCs w:val="22"/>
                <w:lang w:eastAsia="tr-TR"/>
              </w:rPr>
              <w:t>31.12.202</w:t>
            </w:r>
            <w:r w:rsidR="00DA6596">
              <w:rPr>
                <w:rFonts w:cs="Arial"/>
                <w:b/>
                <w:bCs/>
                <w:color w:val="auto"/>
                <w:szCs w:val="22"/>
                <w:lang w:eastAsia="tr-TR"/>
              </w:rPr>
              <w:t>2</w:t>
            </w:r>
          </w:p>
        </w:tc>
        <w:tc>
          <w:tcPr>
            <w:tcW w:w="1665" w:type="dxa"/>
            <w:tcBorders>
              <w:top w:val="single" w:sz="4" w:space="0" w:color="auto"/>
              <w:left w:val="nil"/>
              <w:bottom w:val="single" w:sz="4" w:space="0" w:color="auto"/>
              <w:right w:val="nil"/>
            </w:tcBorders>
            <w:shd w:val="clear" w:color="000000" w:fill="FFCC99"/>
            <w:noWrap/>
            <w:vAlign w:val="bottom"/>
            <w:hideMark/>
          </w:tcPr>
          <w:p w:rsidR="008C780F" w:rsidRPr="008C780F" w:rsidRDefault="008C780F" w:rsidP="00DA6596">
            <w:pPr>
              <w:spacing w:before="0" w:after="0"/>
              <w:jc w:val="right"/>
              <w:rPr>
                <w:rFonts w:cs="Arial"/>
                <w:b/>
                <w:bCs/>
                <w:color w:val="auto"/>
                <w:szCs w:val="22"/>
                <w:lang w:eastAsia="tr-TR"/>
              </w:rPr>
            </w:pPr>
            <w:r w:rsidRPr="008C780F">
              <w:rPr>
                <w:rFonts w:cs="Arial"/>
                <w:b/>
                <w:bCs/>
                <w:color w:val="auto"/>
                <w:szCs w:val="22"/>
                <w:lang w:eastAsia="tr-TR"/>
              </w:rPr>
              <w:t>3</w:t>
            </w:r>
            <w:r w:rsidR="00756420">
              <w:rPr>
                <w:rFonts w:cs="Arial"/>
                <w:b/>
                <w:bCs/>
                <w:color w:val="auto"/>
                <w:szCs w:val="22"/>
                <w:lang w:eastAsia="tr-TR"/>
              </w:rPr>
              <w:t>0</w:t>
            </w:r>
            <w:r w:rsidRPr="008C780F">
              <w:rPr>
                <w:rFonts w:cs="Arial"/>
                <w:b/>
                <w:bCs/>
                <w:color w:val="auto"/>
                <w:szCs w:val="22"/>
                <w:lang w:eastAsia="tr-TR"/>
              </w:rPr>
              <w:t>.</w:t>
            </w:r>
            <w:r w:rsidR="00076F83">
              <w:rPr>
                <w:rFonts w:cs="Arial"/>
                <w:b/>
                <w:bCs/>
                <w:color w:val="auto"/>
                <w:szCs w:val="22"/>
                <w:lang w:eastAsia="tr-TR"/>
              </w:rPr>
              <w:t>0</w:t>
            </w:r>
            <w:r w:rsidR="00756420">
              <w:rPr>
                <w:rFonts w:cs="Arial"/>
                <w:b/>
                <w:bCs/>
                <w:color w:val="auto"/>
                <w:szCs w:val="22"/>
                <w:lang w:eastAsia="tr-TR"/>
              </w:rPr>
              <w:t>6</w:t>
            </w:r>
            <w:r w:rsidRPr="008C780F">
              <w:rPr>
                <w:rFonts w:cs="Arial"/>
                <w:b/>
                <w:bCs/>
                <w:color w:val="auto"/>
                <w:szCs w:val="22"/>
                <w:lang w:eastAsia="tr-TR"/>
              </w:rPr>
              <w:t>.202</w:t>
            </w:r>
            <w:r w:rsidR="00DA6596">
              <w:rPr>
                <w:rFonts w:cs="Arial"/>
                <w:b/>
                <w:bCs/>
                <w:color w:val="auto"/>
                <w:szCs w:val="22"/>
                <w:lang w:eastAsia="tr-TR"/>
              </w:rPr>
              <w:t>3</w:t>
            </w:r>
          </w:p>
        </w:tc>
        <w:tc>
          <w:tcPr>
            <w:tcW w:w="1266" w:type="dxa"/>
            <w:tcBorders>
              <w:top w:val="single" w:sz="4" w:space="0" w:color="auto"/>
              <w:left w:val="nil"/>
              <w:bottom w:val="single" w:sz="4" w:space="0" w:color="auto"/>
              <w:right w:val="nil"/>
            </w:tcBorders>
            <w:shd w:val="clear" w:color="000000" w:fill="FFCC99"/>
            <w:noWrap/>
            <w:vAlign w:val="bottom"/>
            <w:hideMark/>
          </w:tcPr>
          <w:p w:rsidR="008C780F" w:rsidRPr="008C780F" w:rsidRDefault="008C780F" w:rsidP="008C780F">
            <w:pPr>
              <w:spacing w:before="0" w:after="0"/>
              <w:jc w:val="right"/>
              <w:rPr>
                <w:rFonts w:cs="Arial"/>
                <w:b/>
                <w:bCs/>
                <w:color w:val="auto"/>
                <w:szCs w:val="22"/>
                <w:lang w:eastAsia="tr-TR"/>
              </w:rPr>
            </w:pPr>
            <w:r w:rsidRPr="008C780F">
              <w:rPr>
                <w:rFonts w:cs="Arial"/>
                <w:b/>
                <w:bCs/>
                <w:color w:val="auto"/>
                <w:szCs w:val="22"/>
                <w:lang w:eastAsia="tr-TR"/>
              </w:rPr>
              <w:t>%</w:t>
            </w:r>
          </w:p>
        </w:tc>
      </w:tr>
      <w:tr w:rsidR="00DA6596" w:rsidRPr="008C780F" w:rsidTr="00BE1EAF">
        <w:trPr>
          <w:trHeight w:val="253"/>
        </w:trPr>
        <w:tc>
          <w:tcPr>
            <w:tcW w:w="4284" w:type="dxa"/>
            <w:tcBorders>
              <w:top w:val="nil"/>
              <w:left w:val="nil"/>
              <w:bottom w:val="nil"/>
              <w:right w:val="nil"/>
            </w:tcBorders>
            <w:shd w:val="clear" w:color="000000" w:fill="FFFFFF"/>
            <w:noWrap/>
            <w:vAlign w:val="bottom"/>
            <w:hideMark/>
          </w:tcPr>
          <w:p w:rsidR="00DA6596" w:rsidRPr="008C780F" w:rsidRDefault="00DA6596" w:rsidP="00DA6596">
            <w:pPr>
              <w:spacing w:before="0" w:after="0"/>
              <w:rPr>
                <w:rFonts w:cs="Arial"/>
                <w:color w:val="auto"/>
                <w:sz w:val="20"/>
                <w:szCs w:val="20"/>
                <w:lang w:eastAsia="tr-TR"/>
              </w:rPr>
            </w:pPr>
            <w:r w:rsidRPr="008C780F">
              <w:rPr>
                <w:rFonts w:cs="Arial"/>
                <w:color w:val="auto"/>
                <w:sz w:val="20"/>
                <w:szCs w:val="20"/>
                <w:lang w:eastAsia="tr-TR"/>
              </w:rPr>
              <w:t>Toplam Aktifler</w:t>
            </w:r>
          </w:p>
        </w:tc>
        <w:tc>
          <w:tcPr>
            <w:tcW w:w="1999"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61,965</w:t>
            </w:r>
          </w:p>
        </w:tc>
        <w:tc>
          <w:tcPr>
            <w:tcW w:w="1665"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89,150</w:t>
            </w:r>
          </w:p>
        </w:tc>
        <w:tc>
          <w:tcPr>
            <w:tcW w:w="1266"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%43.8</w:t>
            </w:r>
          </w:p>
        </w:tc>
      </w:tr>
      <w:tr w:rsidR="00DA6596" w:rsidRPr="008C780F" w:rsidTr="00BE1EAF">
        <w:trPr>
          <w:trHeight w:val="253"/>
        </w:trPr>
        <w:tc>
          <w:tcPr>
            <w:tcW w:w="4284" w:type="dxa"/>
            <w:tcBorders>
              <w:top w:val="nil"/>
              <w:left w:val="nil"/>
              <w:bottom w:val="nil"/>
              <w:right w:val="nil"/>
            </w:tcBorders>
            <w:shd w:val="clear" w:color="auto" w:fill="auto"/>
            <w:noWrap/>
            <w:vAlign w:val="bottom"/>
            <w:hideMark/>
          </w:tcPr>
          <w:p w:rsidR="00DA6596" w:rsidRPr="008C780F" w:rsidRDefault="00DA6596" w:rsidP="00DA6596">
            <w:pPr>
              <w:spacing w:before="0" w:after="0"/>
              <w:rPr>
                <w:rFonts w:cs="Arial"/>
                <w:color w:val="auto"/>
                <w:sz w:val="20"/>
                <w:szCs w:val="20"/>
                <w:lang w:eastAsia="tr-TR"/>
              </w:rPr>
            </w:pPr>
            <w:r w:rsidRPr="008C780F">
              <w:rPr>
                <w:rFonts w:cs="Arial"/>
                <w:color w:val="auto"/>
                <w:sz w:val="20"/>
                <w:szCs w:val="20"/>
                <w:lang w:eastAsia="tr-TR"/>
              </w:rPr>
              <w:t>Mevduat (*)</w:t>
            </w:r>
          </w:p>
        </w:tc>
        <w:tc>
          <w:tcPr>
            <w:tcW w:w="1999"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26,438</w:t>
            </w:r>
          </w:p>
        </w:tc>
        <w:tc>
          <w:tcPr>
            <w:tcW w:w="1665"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30,964</w:t>
            </w:r>
          </w:p>
        </w:tc>
        <w:tc>
          <w:tcPr>
            <w:tcW w:w="1266"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%17.1</w:t>
            </w:r>
          </w:p>
        </w:tc>
      </w:tr>
      <w:tr w:rsidR="00DA6596" w:rsidRPr="008C780F" w:rsidTr="00BE1EAF">
        <w:trPr>
          <w:trHeight w:val="253"/>
        </w:trPr>
        <w:tc>
          <w:tcPr>
            <w:tcW w:w="4284" w:type="dxa"/>
            <w:tcBorders>
              <w:top w:val="nil"/>
              <w:left w:val="nil"/>
              <w:bottom w:val="nil"/>
              <w:right w:val="nil"/>
            </w:tcBorders>
            <w:shd w:val="clear" w:color="000000" w:fill="FFFFFF"/>
            <w:noWrap/>
            <w:vAlign w:val="bottom"/>
            <w:hideMark/>
          </w:tcPr>
          <w:p w:rsidR="00DA6596" w:rsidRPr="008C780F" w:rsidRDefault="00DA6596" w:rsidP="00DA6596">
            <w:pPr>
              <w:spacing w:before="0" w:after="0"/>
              <w:rPr>
                <w:rFonts w:cs="Arial"/>
                <w:color w:val="auto"/>
                <w:sz w:val="20"/>
                <w:szCs w:val="20"/>
                <w:lang w:eastAsia="tr-TR"/>
              </w:rPr>
            </w:pPr>
            <w:r w:rsidRPr="008C780F">
              <w:rPr>
                <w:rFonts w:cs="Arial"/>
                <w:color w:val="auto"/>
                <w:sz w:val="20"/>
                <w:szCs w:val="20"/>
                <w:lang w:eastAsia="tr-TR"/>
              </w:rPr>
              <w:t>Krediler (**)</w:t>
            </w:r>
          </w:p>
        </w:tc>
        <w:tc>
          <w:tcPr>
            <w:tcW w:w="1999"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27,205</w:t>
            </w:r>
          </w:p>
        </w:tc>
        <w:tc>
          <w:tcPr>
            <w:tcW w:w="1665"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33,714</w:t>
            </w:r>
          </w:p>
        </w:tc>
        <w:tc>
          <w:tcPr>
            <w:tcW w:w="1266"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%23.9</w:t>
            </w:r>
          </w:p>
        </w:tc>
      </w:tr>
      <w:tr w:rsidR="00DA6596" w:rsidRPr="008C780F" w:rsidTr="00BE1EAF">
        <w:trPr>
          <w:trHeight w:val="253"/>
        </w:trPr>
        <w:tc>
          <w:tcPr>
            <w:tcW w:w="4284" w:type="dxa"/>
            <w:tcBorders>
              <w:top w:val="nil"/>
              <w:left w:val="nil"/>
              <w:bottom w:val="nil"/>
              <w:right w:val="nil"/>
            </w:tcBorders>
            <w:shd w:val="clear" w:color="000000" w:fill="FFFFFF"/>
            <w:noWrap/>
            <w:vAlign w:val="bottom"/>
            <w:hideMark/>
          </w:tcPr>
          <w:p w:rsidR="00DA6596" w:rsidRPr="008C780F" w:rsidRDefault="00DA6596" w:rsidP="00DA6596">
            <w:pPr>
              <w:spacing w:before="0" w:after="0"/>
              <w:rPr>
                <w:rFonts w:cs="Arial"/>
                <w:color w:val="auto"/>
                <w:sz w:val="20"/>
                <w:szCs w:val="20"/>
                <w:lang w:eastAsia="tr-TR"/>
              </w:rPr>
            </w:pPr>
            <w:r w:rsidRPr="008C780F">
              <w:rPr>
                <w:rFonts w:cs="Arial"/>
                <w:color w:val="auto"/>
                <w:sz w:val="20"/>
                <w:szCs w:val="20"/>
                <w:lang w:eastAsia="tr-TR"/>
              </w:rPr>
              <w:t>Özkaynak</w:t>
            </w:r>
          </w:p>
        </w:tc>
        <w:tc>
          <w:tcPr>
            <w:tcW w:w="1999"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3,137</w:t>
            </w:r>
          </w:p>
        </w:tc>
        <w:tc>
          <w:tcPr>
            <w:tcW w:w="1665"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4,647</w:t>
            </w:r>
          </w:p>
        </w:tc>
        <w:tc>
          <w:tcPr>
            <w:tcW w:w="1266" w:type="dxa"/>
            <w:tcBorders>
              <w:top w:val="nil"/>
              <w:left w:val="nil"/>
              <w:bottom w:val="nil"/>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%48.1</w:t>
            </w:r>
          </w:p>
        </w:tc>
      </w:tr>
      <w:tr w:rsidR="00DA6596" w:rsidRPr="008C780F" w:rsidTr="00BE1EAF">
        <w:trPr>
          <w:trHeight w:val="268"/>
        </w:trPr>
        <w:tc>
          <w:tcPr>
            <w:tcW w:w="4284" w:type="dxa"/>
            <w:tcBorders>
              <w:top w:val="nil"/>
              <w:left w:val="nil"/>
              <w:bottom w:val="double" w:sz="6" w:space="0" w:color="auto"/>
              <w:right w:val="nil"/>
            </w:tcBorders>
            <w:shd w:val="clear" w:color="000000" w:fill="FFFFFF"/>
            <w:noWrap/>
            <w:vAlign w:val="bottom"/>
            <w:hideMark/>
          </w:tcPr>
          <w:p w:rsidR="00DA6596" w:rsidRPr="008C780F" w:rsidRDefault="00DA6596" w:rsidP="00DA6596">
            <w:pPr>
              <w:spacing w:before="0" w:after="0"/>
              <w:rPr>
                <w:rFonts w:cs="Arial"/>
                <w:color w:val="auto"/>
                <w:sz w:val="20"/>
                <w:szCs w:val="20"/>
                <w:lang w:eastAsia="tr-TR"/>
              </w:rPr>
            </w:pPr>
            <w:r w:rsidRPr="008C780F">
              <w:rPr>
                <w:rFonts w:cs="Arial"/>
                <w:color w:val="auto"/>
                <w:sz w:val="20"/>
                <w:szCs w:val="20"/>
                <w:lang w:eastAsia="tr-TR"/>
              </w:rPr>
              <w:t>Kar</w:t>
            </w:r>
            <w:r>
              <w:rPr>
                <w:rFonts w:cs="Arial"/>
                <w:color w:val="auto"/>
                <w:sz w:val="20"/>
                <w:szCs w:val="20"/>
                <w:lang w:eastAsia="tr-TR"/>
              </w:rPr>
              <w:t xml:space="preserve"> (***)</w:t>
            </w:r>
          </w:p>
        </w:tc>
        <w:tc>
          <w:tcPr>
            <w:tcW w:w="1999" w:type="dxa"/>
            <w:tcBorders>
              <w:top w:val="nil"/>
              <w:left w:val="nil"/>
              <w:bottom w:val="double" w:sz="6" w:space="0" w:color="auto"/>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1,400</w:t>
            </w:r>
          </w:p>
        </w:tc>
        <w:tc>
          <w:tcPr>
            <w:tcW w:w="1665" w:type="dxa"/>
            <w:tcBorders>
              <w:top w:val="nil"/>
              <w:left w:val="nil"/>
              <w:bottom w:val="double" w:sz="6" w:space="0" w:color="auto"/>
              <w:right w:val="nil"/>
            </w:tcBorders>
            <w:shd w:val="clear" w:color="auto" w:fill="auto"/>
            <w:noWrap/>
            <w:hideMark/>
          </w:tcPr>
          <w:p w:rsidR="00DA6596" w:rsidRPr="004B33E5" w:rsidRDefault="00DA6596" w:rsidP="00DA6596">
            <w:pPr>
              <w:spacing w:before="0" w:after="0"/>
              <w:jc w:val="right"/>
              <w:rPr>
                <w:rFonts w:cs="Arial"/>
                <w:sz w:val="18"/>
                <w:szCs w:val="18"/>
                <w:lang w:eastAsia="tr-TR"/>
              </w:rPr>
            </w:pPr>
            <w:r>
              <w:rPr>
                <w:rFonts w:cs="Arial"/>
                <w:sz w:val="18"/>
                <w:szCs w:val="18"/>
                <w:lang w:eastAsia="tr-TR"/>
              </w:rPr>
              <w:t>1,479</w:t>
            </w:r>
          </w:p>
        </w:tc>
        <w:tc>
          <w:tcPr>
            <w:tcW w:w="1266" w:type="dxa"/>
            <w:tcBorders>
              <w:top w:val="nil"/>
              <w:left w:val="nil"/>
              <w:bottom w:val="double" w:sz="6" w:space="0" w:color="auto"/>
              <w:right w:val="nil"/>
            </w:tcBorders>
            <w:shd w:val="clear" w:color="auto" w:fill="auto"/>
            <w:noWrap/>
            <w:hideMark/>
          </w:tcPr>
          <w:p w:rsidR="00DA6596" w:rsidRPr="004B33E5" w:rsidRDefault="00DA6596" w:rsidP="00DA6596">
            <w:pPr>
              <w:spacing w:before="0" w:after="0"/>
              <w:jc w:val="center"/>
              <w:rPr>
                <w:rFonts w:cs="Arial"/>
                <w:sz w:val="18"/>
                <w:szCs w:val="18"/>
                <w:lang w:eastAsia="tr-TR"/>
              </w:rPr>
            </w:pPr>
            <w:r>
              <w:rPr>
                <w:rFonts w:cs="Arial"/>
                <w:sz w:val="18"/>
                <w:szCs w:val="18"/>
                <w:lang w:eastAsia="tr-TR"/>
              </w:rPr>
              <w:t xml:space="preserve">                 %5.6</w:t>
            </w:r>
          </w:p>
        </w:tc>
      </w:tr>
      <w:tr w:rsidR="008C780F" w:rsidRPr="008C780F" w:rsidTr="001C351D">
        <w:trPr>
          <w:trHeight w:val="268"/>
        </w:trPr>
        <w:tc>
          <w:tcPr>
            <w:tcW w:w="4284" w:type="dxa"/>
            <w:tcBorders>
              <w:top w:val="nil"/>
              <w:left w:val="nil"/>
              <w:bottom w:val="nil"/>
              <w:right w:val="nil"/>
            </w:tcBorders>
            <w:shd w:val="clear" w:color="auto" w:fill="auto"/>
            <w:noWrap/>
            <w:vAlign w:val="bottom"/>
            <w:hideMark/>
          </w:tcPr>
          <w:p w:rsidR="008C780F" w:rsidRPr="00627261" w:rsidRDefault="008C780F" w:rsidP="008C780F">
            <w:pPr>
              <w:spacing w:before="0" w:after="0"/>
              <w:rPr>
                <w:rFonts w:cs="Arial"/>
                <w:i/>
                <w:iCs/>
                <w:color w:val="auto"/>
                <w:sz w:val="12"/>
                <w:szCs w:val="12"/>
                <w:lang w:eastAsia="tr-TR"/>
              </w:rPr>
            </w:pPr>
            <w:r w:rsidRPr="00627261">
              <w:rPr>
                <w:rFonts w:cs="Arial"/>
                <w:i/>
                <w:iCs/>
                <w:color w:val="auto"/>
                <w:sz w:val="12"/>
                <w:szCs w:val="12"/>
                <w:lang w:eastAsia="tr-TR"/>
              </w:rPr>
              <w:t>(*) Bankalar mevduatı hariçtir</w:t>
            </w:r>
          </w:p>
          <w:p w:rsidR="00DB4214" w:rsidRPr="00627261" w:rsidRDefault="008C780F" w:rsidP="00DB4214">
            <w:pPr>
              <w:tabs>
                <w:tab w:val="left" w:pos="6521"/>
              </w:tabs>
              <w:spacing w:before="0" w:after="0"/>
              <w:rPr>
                <w:rFonts w:cs="Arial"/>
                <w:i/>
                <w:sz w:val="18"/>
                <w:szCs w:val="12"/>
                <w:vertAlign w:val="superscript"/>
              </w:rPr>
            </w:pPr>
            <w:r w:rsidRPr="00627261">
              <w:rPr>
                <w:rFonts w:cs="Arial"/>
                <w:sz w:val="18"/>
                <w:szCs w:val="12"/>
                <w:vertAlign w:val="superscript"/>
              </w:rPr>
              <w:t>(*)</w:t>
            </w:r>
            <w:r w:rsidRPr="00627261">
              <w:rPr>
                <w:rFonts w:cs="Arial"/>
                <w:i/>
                <w:sz w:val="18"/>
                <w:szCs w:val="12"/>
                <w:vertAlign w:val="superscript"/>
              </w:rPr>
              <w:t>Gerçeğe uygun değer farkı diğer kapsamlı gelire yansıtılan finansal varlık</w:t>
            </w:r>
            <w:r w:rsidR="00D35181" w:rsidRPr="00627261">
              <w:rPr>
                <w:rFonts w:cs="Arial"/>
                <w:i/>
                <w:sz w:val="18"/>
                <w:szCs w:val="12"/>
                <w:vertAlign w:val="superscript"/>
              </w:rPr>
              <w:t xml:space="preserve"> </w:t>
            </w:r>
            <w:r w:rsidRPr="00627261">
              <w:rPr>
                <w:rFonts w:cs="Arial"/>
                <w:i/>
                <w:sz w:val="18"/>
                <w:szCs w:val="12"/>
                <w:vertAlign w:val="superscript"/>
              </w:rPr>
              <w:t>olarak sınıflandırılan krediler dahil edilmiştir.</w:t>
            </w:r>
          </w:p>
          <w:p w:rsidR="00970A2D" w:rsidRDefault="00D35181" w:rsidP="00912084">
            <w:pPr>
              <w:tabs>
                <w:tab w:val="left" w:pos="6521"/>
              </w:tabs>
              <w:spacing w:before="0" w:after="0"/>
              <w:rPr>
                <w:rFonts w:cs="Arial"/>
                <w:i/>
                <w:sz w:val="18"/>
                <w:szCs w:val="12"/>
                <w:vertAlign w:val="superscript"/>
              </w:rPr>
            </w:pPr>
            <w:r w:rsidRPr="00627261">
              <w:rPr>
                <w:rFonts w:cs="Arial"/>
                <w:i/>
                <w:sz w:val="18"/>
                <w:szCs w:val="12"/>
                <w:vertAlign w:val="superscript"/>
              </w:rPr>
              <w:t>(***) Önceki dönem kar rakamı 3</w:t>
            </w:r>
            <w:r w:rsidR="00756420">
              <w:rPr>
                <w:rFonts w:cs="Arial"/>
                <w:i/>
                <w:sz w:val="18"/>
                <w:szCs w:val="12"/>
                <w:vertAlign w:val="superscript"/>
              </w:rPr>
              <w:t>0</w:t>
            </w:r>
            <w:r w:rsidR="00912084">
              <w:rPr>
                <w:rFonts w:cs="Arial"/>
                <w:i/>
                <w:sz w:val="18"/>
                <w:szCs w:val="12"/>
                <w:vertAlign w:val="superscript"/>
              </w:rPr>
              <w:t xml:space="preserve"> </w:t>
            </w:r>
            <w:r w:rsidR="00756420">
              <w:rPr>
                <w:rFonts w:cs="Arial"/>
                <w:i/>
                <w:sz w:val="18"/>
                <w:szCs w:val="12"/>
                <w:vertAlign w:val="superscript"/>
              </w:rPr>
              <w:t>Haziran</w:t>
            </w:r>
            <w:r w:rsidRPr="00627261">
              <w:rPr>
                <w:rFonts w:cs="Arial"/>
                <w:i/>
                <w:sz w:val="18"/>
                <w:szCs w:val="12"/>
                <w:vertAlign w:val="superscript"/>
              </w:rPr>
              <w:t xml:space="preserve"> 20</w:t>
            </w:r>
            <w:r w:rsidR="00DA6596">
              <w:rPr>
                <w:rFonts w:cs="Arial"/>
                <w:i/>
                <w:sz w:val="18"/>
                <w:szCs w:val="12"/>
                <w:vertAlign w:val="superscript"/>
              </w:rPr>
              <w:t>22</w:t>
            </w:r>
            <w:r w:rsidRPr="00627261">
              <w:rPr>
                <w:rFonts w:cs="Arial"/>
                <w:i/>
                <w:sz w:val="18"/>
                <w:szCs w:val="12"/>
                <w:vertAlign w:val="superscript"/>
              </w:rPr>
              <w:t xml:space="preserve"> bakiyesidir.</w:t>
            </w:r>
          </w:p>
          <w:p w:rsidR="00912084" w:rsidRPr="00912084" w:rsidRDefault="00912084" w:rsidP="00912084">
            <w:pPr>
              <w:tabs>
                <w:tab w:val="left" w:pos="6521"/>
              </w:tabs>
              <w:spacing w:before="0" w:after="0"/>
              <w:rPr>
                <w:rFonts w:cs="Arial"/>
                <w:i/>
                <w:sz w:val="18"/>
                <w:szCs w:val="12"/>
                <w:vertAlign w:val="superscript"/>
              </w:rPr>
            </w:pPr>
          </w:p>
        </w:tc>
        <w:tc>
          <w:tcPr>
            <w:tcW w:w="1999" w:type="dxa"/>
            <w:tcBorders>
              <w:top w:val="nil"/>
              <w:left w:val="nil"/>
              <w:bottom w:val="nil"/>
              <w:right w:val="nil"/>
            </w:tcBorders>
            <w:shd w:val="clear" w:color="000000" w:fill="FFFFFF"/>
            <w:noWrap/>
            <w:vAlign w:val="bottom"/>
            <w:hideMark/>
          </w:tcPr>
          <w:p w:rsidR="008C780F" w:rsidRPr="008C780F" w:rsidRDefault="008C780F" w:rsidP="008C780F">
            <w:pPr>
              <w:spacing w:before="0" w:after="0"/>
              <w:jc w:val="right"/>
              <w:rPr>
                <w:rFonts w:cs="Arial"/>
                <w:sz w:val="20"/>
                <w:szCs w:val="20"/>
                <w:lang w:eastAsia="tr-TR"/>
              </w:rPr>
            </w:pPr>
            <w:r w:rsidRPr="008C780F">
              <w:rPr>
                <w:rFonts w:cs="Arial"/>
                <w:sz w:val="20"/>
                <w:szCs w:val="20"/>
                <w:lang w:eastAsia="tr-TR"/>
              </w:rPr>
              <w:t> </w:t>
            </w:r>
          </w:p>
        </w:tc>
        <w:tc>
          <w:tcPr>
            <w:tcW w:w="1665" w:type="dxa"/>
            <w:tcBorders>
              <w:top w:val="nil"/>
              <w:left w:val="nil"/>
              <w:bottom w:val="nil"/>
              <w:right w:val="nil"/>
            </w:tcBorders>
            <w:shd w:val="clear" w:color="000000" w:fill="FFFFFF"/>
            <w:noWrap/>
            <w:vAlign w:val="bottom"/>
            <w:hideMark/>
          </w:tcPr>
          <w:p w:rsidR="008C780F" w:rsidRPr="008C780F" w:rsidRDefault="008C780F" w:rsidP="008C780F">
            <w:pPr>
              <w:spacing w:before="0" w:after="0"/>
              <w:jc w:val="right"/>
              <w:rPr>
                <w:rFonts w:cs="Arial"/>
                <w:sz w:val="20"/>
                <w:szCs w:val="20"/>
                <w:lang w:eastAsia="tr-TR"/>
              </w:rPr>
            </w:pPr>
            <w:r w:rsidRPr="008C780F">
              <w:rPr>
                <w:rFonts w:cs="Arial"/>
                <w:sz w:val="20"/>
                <w:szCs w:val="20"/>
                <w:lang w:eastAsia="tr-TR"/>
              </w:rPr>
              <w:t> </w:t>
            </w:r>
          </w:p>
        </w:tc>
        <w:tc>
          <w:tcPr>
            <w:tcW w:w="1266" w:type="dxa"/>
            <w:tcBorders>
              <w:top w:val="nil"/>
              <w:left w:val="nil"/>
              <w:bottom w:val="nil"/>
              <w:right w:val="nil"/>
            </w:tcBorders>
            <w:shd w:val="clear" w:color="000000" w:fill="FFFFFF"/>
            <w:noWrap/>
            <w:vAlign w:val="bottom"/>
            <w:hideMark/>
          </w:tcPr>
          <w:p w:rsidR="008C780F" w:rsidRPr="008C780F" w:rsidRDefault="008C780F" w:rsidP="008C780F">
            <w:pPr>
              <w:spacing w:before="0" w:after="0"/>
              <w:jc w:val="center"/>
              <w:rPr>
                <w:rFonts w:cs="Arial"/>
                <w:sz w:val="20"/>
                <w:szCs w:val="20"/>
                <w:lang w:eastAsia="tr-TR"/>
              </w:rPr>
            </w:pPr>
            <w:r w:rsidRPr="008C780F">
              <w:rPr>
                <w:rFonts w:cs="Arial"/>
                <w:sz w:val="20"/>
                <w:szCs w:val="20"/>
                <w:lang w:eastAsia="tr-TR"/>
              </w:rPr>
              <w:t> </w:t>
            </w:r>
          </w:p>
        </w:tc>
      </w:tr>
      <w:tr w:rsidR="00DA6596" w:rsidRPr="008C780F" w:rsidTr="001C351D">
        <w:trPr>
          <w:trHeight w:val="283"/>
        </w:trPr>
        <w:tc>
          <w:tcPr>
            <w:tcW w:w="4284" w:type="dxa"/>
            <w:tcBorders>
              <w:top w:val="single" w:sz="4" w:space="0" w:color="auto"/>
              <w:left w:val="nil"/>
              <w:bottom w:val="single" w:sz="4" w:space="0" w:color="auto"/>
              <w:right w:val="nil"/>
            </w:tcBorders>
            <w:shd w:val="clear" w:color="000000" w:fill="FFCC99"/>
            <w:noWrap/>
            <w:vAlign w:val="bottom"/>
            <w:hideMark/>
          </w:tcPr>
          <w:p w:rsidR="00DA6596" w:rsidRPr="008C780F" w:rsidRDefault="00DA6596" w:rsidP="00DA6596">
            <w:pPr>
              <w:spacing w:before="0" w:after="0"/>
              <w:rPr>
                <w:rFonts w:cs="Arial"/>
                <w:b/>
                <w:bCs/>
                <w:color w:val="auto"/>
                <w:szCs w:val="22"/>
                <w:lang w:eastAsia="tr-TR"/>
              </w:rPr>
            </w:pPr>
            <w:r w:rsidRPr="008C780F">
              <w:rPr>
                <w:rFonts w:cs="Arial"/>
                <w:b/>
                <w:bCs/>
                <w:color w:val="auto"/>
                <w:szCs w:val="22"/>
                <w:lang w:eastAsia="tr-TR"/>
              </w:rPr>
              <w:t>Finansal Rasyolar %</w:t>
            </w:r>
          </w:p>
        </w:tc>
        <w:tc>
          <w:tcPr>
            <w:tcW w:w="1999" w:type="dxa"/>
            <w:tcBorders>
              <w:top w:val="single" w:sz="4" w:space="0" w:color="auto"/>
              <w:left w:val="nil"/>
              <w:bottom w:val="single" w:sz="4" w:space="0" w:color="auto"/>
              <w:right w:val="nil"/>
            </w:tcBorders>
            <w:shd w:val="clear" w:color="000000" w:fill="FFCC99"/>
            <w:noWrap/>
            <w:vAlign w:val="bottom"/>
            <w:hideMark/>
          </w:tcPr>
          <w:p w:rsidR="00DA6596" w:rsidRPr="008C780F" w:rsidRDefault="00DA6596" w:rsidP="00DA6596">
            <w:pPr>
              <w:spacing w:before="0" w:after="0"/>
              <w:jc w:val="right"/>
              <w:rPr>
                <w:rFonts w:cs="Arial"/>
                <w:b/>
                <w:bCs/>
                <w:color w:val="auto"/>
                <w:szCs w:val="22"/>
                <w:lang w:eastAsia="tr-TR"/>
              </w:rPr>
            </w:pPr>
            <w:r w:rsidRPr="008C780F">
              <w:rPr>
                <w:rFonts w:cs="Arial"/>
                <w:b/>
                <w:bCs/>
                <w:color w:val="auto"/>
                <w:szCs w:val="22"/>
                <w:lang w:eastAsia="tr-TR"/>
              </w:rPr>
              <w:t>31.12.202</w:t>
            </w:r>
            <w:r>
              <w:rPr>
                <w:rFonts w:cs="Arial"/>
                <w:b/>
                <w:bCs/>
                <w:color w:val="auto"/>
                <w:szCs w:val="22"/>
                <w:lang w:eastAsia="tr-TR"/>
              </w:rPr>
              <w:t>2</w:t>
            </w:r>
          </w:p>
        </w:tc>
        <w:tc>
          <w:tcPr>
            <w:tcW w:w="1665" w:type="dxa"/>
            <w:tcBorders>
              <w:top w:val="single" w:sz="4" w:space="0" w:color="auto"/>
              <w:left w:val="nil"/>
              <w:bottom w:val="single" w:sz="4" w:space="0" w:color="auto"/>
              <w:right w:val="nil"/>
            </w:tcBorders>
            <w:shd w:val="clear" w:color="000000" w:fill="FFCC99"/>
            <w:noWrap/>
            <w:vAlign w:val="bottom"/>
            <w:hideMark/>
          </w:tcPr>
          <w:p w:rsidR="00DA6596" w:rsidRPr="008C780F" w:rsidRDefault="00DA6596" w:rsidP="00DA6596">
            <w:pPr>
              <w:spacing w:before="0" w:after="0"/>
              <w:jc w:val="right"/>
              <w:rPr>
                <w:rFonts w:cs="Arial"/>
                <w:b/>
                <w:bCs/>
                <w:color w:val="auto"/>
                <w:szCs w:val="22"/>
                <w:lang w:eastAsia="tr-TR"/>
              </w:rPr>
            </w:pPr>
            <w:r w:rsidRPr="008C780F">
              <w:rPr>
                <w:rFonts w:cs="Arial"/>
                <w:b/>
                <w:bCs/>
                <w:color w:val="auto"/>
                <w:szCs w:val="22"/>
                <w:lang w:eastAsia="tr-TR"/>
              </w:rPr>
              <w:t>3</w:t>
            </w:r>
            <w:r>
              <w:rPr>
                <w:rFonts w:cs="Arial"/>
                <w:b/>
                <w:bCs/>
                <w:color w:val="auto"/>
                <w:szCs w:val="22"/>
                <w:lang w:eastAsia="tr-TR"/>
              </w:rPr>
              <w:t>0</w:t>
            </w:r>
            <w:r w:rsidRPr="008C780F">
              <w:rPr>
                <w:rFonts w:cs="Arial"/>
                <w:b/>
                <w:bCs/>
                <w:color w:val="auto"/>
                <w:szCs w:val="22"/>
                <w:lang w:eastAsia="tr-TR"/>
              </w:rPr>
              <w:t>.</w:t>
            </w:r>
            <w:r>
              <w:rPr>
                <w:rFonts w:cs="Arial"/>
                <w:b/>
                <w:bCs/>
                <w:color w:val="auto"/>
                <w:szCs w:val="22"/>
                <w:lang w:eastAsia="tr-TR"/>
              </w:rPr>
              <w:t>06</w:t>
            </w:r>
            <w:r w:rsidRPr="008C780F">
              <w:rPr>
                <w:rFonts w:cs="Arial"/>
                <w:b/>
                <w:bCs/>
                <w:color w:val="auto"/>
                <w:szCs w:val="22"/>
                <w:lang w:eastAsia="tr-TR"/>
              </w:rPr>
              <w:t>.202</w:t>
            </w:r>
            <w:r>
              <w:rPr>
                <w:rFonts w:cs="Arial"/>
                <w:b/>
                <w:bCs/>
                <w:color w:val="auto"/>
                <w:szCs w:val="22"/>
                <w:lang w:eastAsia="tr-TR"/>
              </w:rPr>
              <w:t>3</w:t>
            </w:r>
          </w:p>
        </w:tc>
        <w:tc>
          <w:tcPr>
            <w:tcW w:w="1266" w:type="dxa"/>
            <w:tcBorders>
              <w:top w:val="single" w:sz="4" w:space="0" w:color="auto"/>
              <w:left w:val="nil"/>
              <w:bottom w:val="single" w:sz="4" w:space="0" w:color="auto"/>
              <w:right w:val="nil"/>
            </w:tcBorders>
            <w:shd w:val="clear" w:color="000000" w:fill="FFCC99"/>
            <w:noWrap/>
            <w:vAlign w:val="bottom"/>
            <w:hideMark/>
          </w:tcPr>
          <w:p w:rsidR="00DA6596" w:rsidRPr="008C780F" w:rsidRDefault="00DA6596" w:rsidP="00DA6596">
            <w:pPr>
              <w:spacing w:before="0" w:after="0"/>
              <w:jc w:val="right"/>
              <w:rPr>
                <w:rFonts w:cs="Arial"/>
                <w:b/>
                <w:bCs/>
                <w:color w:val="auto"/>
                <w:szCs w:val="22"/>
                <w:lang w:eastAsia="tr-TR"/>
              </w:rPr>
            </w:pPr>
            <w:r w:rsidRPr="008C780F">
              <w:rPr>
                <w:rFonts w:cs="Arial"/>
                <w:b/>
                <w:bCs/>
                <w:color w:val="auto"/>
                <w:szCs w:val="22"/>
                <w:lang w:eastAsia="tr-TR"/>
              </w:rPr>
              <w:t>%</w:t>
            </w:r>
          </w:p>
        </w:tc>
      </w:tr>
      <w:tr w:rsidR="00DA6596" w:rsidRPr="008C780F" w:rsidTr="00B40FE1">
        <w:trPr>
          <w:trHeight w:val="253"/>
        </w:trPr>
        <w:tc>
          <w:tcPr>
            <w:tcW w:w="4284" w:type="dxa"/>
            <w:tcBorders>
              <w:top w:val="nil"/>
              <w:left w:val="nil"/>
              <w:bottom w:val="nil"/>
              <w:right w:val="nil"/>
            </w:tcBorders>
            <w:shd w:val="clear" w:color="auto" w:fill="auto"/>
            <w:noWrap/>
            <w:vAlign w:val="bottom"/>
            <w:hideMark/>
          </w:tcPr>
          <w:p w:rsidR="00DA6596" w:rsidRPr="008C780F" w:rsidRDefault="00DA6596" w:rsidP="00DA6596">
            <w:pPr>
              <w:spacing w:before="0" w:after="0"/>
              <w:rPr>
                <w:rFonts w:cs="Arial"/>
                <w:color w:val="auto"/>
                <w:sz w:val="20"/>
                <w:szCs w:val="20"/>
                <w:lang w:eastAsia="tr-TR"/>
              </w:rPr>
            </w:pPr>
            <w:r w:rsidRPr="008C780F">
              <w:rPr>
                <w:rFonts w:cs="Arial"/>
                <w:color w:val="auto"/>
                <w:sz w:val="20"/>
                <w:szCs w:val="20"/>
                <w:lang w:eastAsia="tr-TR"/>
              </w:rPr>
              <w:t>Aktif Karlılığı</w:t>
            </w:r>
            <w:r w:rsidRPr="002A43C0">
              <w:rPr>
                <w:rFonts w:cs="Tahoma"/>
                <w:bCs/>
                <w:i/>
                <w:sz w:val="12"/>
                <w:szCs w:val="14"/>
                <w:vertAlign w:val="superscript"/>
              </w:rPr>
              <w:t>(</w:t>
            </w:r>
            <w:r>
              <w:rPr>
                <w:i/>
                <w:sz w:val="12"/>
                <w:szCs w:val="14"/>
              </w:rPr>
              <w:t>3</w:t>
            </w:r>
            <w:r w:rsidRPr="00B839A0">
              <w:rPr>
                <w:i/>
                <w:sz w:val="12"/>
                <w:szCs w:val="14"/>
              </w:rPr>
              <w:t>)</w:t>
            </w:r>
          </w:p>
        </w:tc>
        <w:tc>
          <w:tcPr>
            <w:tcW w:w="1999"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0.0</w:t>
            </w:r>
            <w:r>
              <w:rPr>
                <w:sz w:val="18"/>
                <w:szCs w:val="18"/>
              </w:rPr>
              <w:t>13</w:t>
            </w:r>
            <w:r w:rsidRPr="0005710F">
              <w:rPr>
                <w:sz w:val="18"/>
                <w:szCs w:val="18"/>
              </w:rPr>
              <w:t xml:space="preserve"> </w:t>
            </w:r>
          </w:p>
        </w:tc>
        <w:tc>
          <w:tcPr>
            <w:tcW w:w="1665"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0.</w:t>
            </w:r>
            <w:r>
              <w:rPr>
                <w:sz w:val="18"/>
                <w:szCs w:val="18"/>
              </w:rPr>
              <w:t>016</w:t>
            </w:r>
            <w:r w:rsidRPr="0005710F">
              <w:rPr>
                <w:sz w:val="18"/>
                <w:szCs w:val="18"/>
              </w:rPr>
              <w:t xml:space="preserve"> </w:t>
            </w:r>
          </w:p>
        </w:tc>
        <w:tc>
          <w:tcPr>
            <w:tcW w:w="1266"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Pr>
                <w:sz w:val="18"/>
                <w:szCs w:val="18"/>
              </w:rPr>
              <w:t>%</w:t>
            </w:r>
            <w:r w:rsidRPr="0005710F">
              <w:rPr>
                <w:sz w:val="18"/>
                <w:szCs w:val="18"/>
              </w:rPr>
              <w:t>(0.</w:t>
            </w:r>
            <w:r>
              <w:rPr>
                <w:sz w:val="18"/>
                <w:szCs w:val="18"/>
              </w:rPr>
              <w:t>26</w:t>
            </w:r>
            <w:r w:rsidRPr="0005710F">
              <w:rPr>
                <w:sz w:val="18"/>
                <w:szCs w:val="18"/>
              </w:rPr>
              <w:t>)</w:t>
            </w:r>
          </w:p>
        </w:tc>
      </w:tr>
      <w:tr w:rsidR="00DA6596" w:rsidRPr="008C780F" w:rsidTr="00B40FE1">
        <w:trPr>
          <w:trHeight w:val="253"/>
        </w:trPr>
        <w:tc>
          <w:tcPr>
            <w:tcW w:w="4284" w:type="dxa"/>
            <w:tcBorders>
              <w:top w:val="nil"/>
              <w:left w:val="nil"/>
              <w:bottom w:val="nil"/>
              <w:right w:val="nil"/>
            </w:tcBorders>
            <w:shd w:val="clear" w:color="auto" w:fill="auto"/>
            <w:noWrap/>
            <w:vAlign w:val="bottom"/>
            <w:hideMark/>
          </w:tcPr>
          <w:p w:rsidR="00DA6596" w:rsidRPr="008C780F" w:rsidRDefault="00DA6596" w:rsidP="00DA6596">
            <w:pPr>
              <w:spacing w:before="0" w:after="0"/>
              <w:rPr>
                <w:rFonts w:cs="Arial"/>
                <w:color w:val="auto"/>
                <w:sz w:val="20"/>
                <w:szCs w:val="20"/>
                <w:lang w:eastAsia="tr-TR"/>
              </w:rPr>
            </w:pPr>
            <w:r w:rsidRPr="008C780F">
              <w:rPr>
                <w:rFonts w:cs="Arial"/>
                <w:color w:val="auto"/>
                <w:sz w:val="20"/>
                <w:szCs w:val="20"/>
                <w:lang w:eastAsia="tr-TR"/>
              </w:rPr>
              <w:t>Özkaynak Karlılığı</w:t>
            </w:r>
            <w:r w:rsidRPr="002A43C0">
              <w:rPr>
                <w:rFonts w:cs="Tahoma"/>
                <w:bCs/>
                <w:i/>
                <w:sz w:val="12"/>
                <w:szCs w:val="14"/>
                <w:vertAlign w:val="superscript"/>
              </w:rPr>
              <w:t>(</w:t>
            </w:r>
            <w:r>
              <w:rPr>
                <w:i/>
                <w:sz w:val="12"/>
                <w:szCs w:val="14"/>
              </w:rPr>
              <w:t>3</w:t>
            </w:r>
            <w:r w:rsidRPr="00B839A0">
              <w:rPr>
                <w:i/>
                <w:sz w:val="12"/>
                <w:szCs w:val="14"/>
              </w:rPr>
              <w:t>)</w:t>
            </w:r>
          </w:p>
        </w:tc>
        <w:tc>
          <w:tcPr>
            <w:tcW w:w="1999"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0.</w:t>
            </w:r>
            <w:r>
              <w:rPr>
                <w:sz w:val="18"/>
                <w:szCs w:val="18"/>
              </w:rPr>
              <w:t>258</w:t>
            </w:r>
            <w:r w:rsidRPr="0005710F">
              <w:rPr>
                <w:sz w:val="18"/>
                <w:szCs w:val="18"/>
              </w:rPr>
              <w:t xml:space="preserve"> </w:t>
            </w:r>
          </w:p>
        </w:tc>
        <w:tc>
          <w:tcPr>
            <w:tcW w:w="1665"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0.3</w:t>
            </w:r>
            <w:r>
              <w:rPr>
                <w:sz w:val="18"/>
                <w:szCs w:val="18"/>
              </w:rPr>
              <w:t>18</w:t>
            </w:r>
            <w:r w:rsidRPr="0005710F">
              <w:rPr>
                <w:sz w:val="18"/>
                <w:szCs w:val="18"/>
              </w:rPr>
              <w:t xml:space="preserve"> </w:t>
            </w:r>
          </w:p>
        </w:tc>
        <w:tc>
          <w:tcPr>
            <w:tcW w:w="1266"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w:t>
            </w:r>
            <w:r w:rsidRPr="0005710F">
              <w:rPr>
                <w:sz w:val="18"/>
                <w:szCs w:val="18"/>
              </w:rPr>
              <w:t>(0.</w:t>
            </w:r>
            <w:r>
              <w:rPr>
                <w:sz w:val="18"/>
                <w:szCs w:val="18"/>
              </w:rPr>
              <w:t>23</w:t>
            </w:r>
            <w:r w:rsidRPr="0005710F">
              <w:rPr>
                <w:sz w:val="18"/>
                <w:szCs w:val="18"/>
              </w:rPr>
              <w:t>)</w:t>
            </w:r>
          </w:p>
        </w:tc>
      </w:tr>
      <w:tr w:rsidR="00DA6596" w:rsidRPr="008C780F" w:rsidTr="00B40FE1">
        <w:trPr>
          <w:trHeight w:val="253"/>
        </w:trPr>
        <w:tc>
          <w:tcPr>
            <w:tcW w:w="4284" w:type="dxa"/>
            <w:tcBorders>
              <w:top w:val="nil"/>
              <w:left w:val="nil"/>
              <w:bottom w:val="nil"/>
              <w:right w:val="nil"/>
            </w:tcBorders>
            <w:shd w:val="clear" w:color="auto" w:fill="auto"/>
            <w:noWrap/>
            <w:vAlign w:val="bottom"/>
            <w:hideMark/>
          </w:tcPr>
          <w:p w:rsidR="00DA6596" w:rsidRPr="008C780F" w:rsidRDefault="00DA6596" w:rsidP="00DA6596">
            <w:pPr>
              <w:spacing w:before="0" w:after="0"/>
              <w:rPr>
                <w:rFonts w:cs="Arial"/>
                <w:color w:val="auto"/>
                <w:sz w:val="20"/>
                <w:szCs w:val="20"/>
                <w:lang w:eastAsia="tr-TR"/>
              </w:rPr>
            </w:pPr>
            <w:r w:rsidRPr="008C780F">
              <w:rPr>
                <w:rFonts w:cs="Arial"/>
                <w:color w:val="auto"/>
                <w:sz w:val="20"/>
                <w:szCs w:val="20"/>
                <w:lang w:eastAsia="tr-TR"/>
              </w:rPr>
              <w:t>Sermaye Yeterlilik Oranı</w:t>
            </w:r>
          </w:p>
        </w:tc>
        <w:tc>
          <w:tcPr>
            <w:tcW w:w="1999"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29,99</w:t>
            </w:r>
            <w:r w:rsidRPr="0005710F">
              <w:rPr>
                <w:sz w:val="18"/>
                <w:szCs w:val="18"/>
              </w:rPr>
              <w:t xml:space="preserve"> </w:t>
            </w:r>
          </w:p>
        </w:tc>
        <w:tc>
          <w:tcPr>
            <w:tcW w:w="1665" w:type="dxa"/>
            <w:tcBorders>
              <w:top w:val="nil"/>
              <w:left w:val="nil"/>
              <w:bottom w:val="nil"/>
              <w:right w:val="nil"/>
            </w:tcBorders>
            <w:shd w:val="clear" w:color="auto" w:fill="auto"/>
            <w:noWrap/>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32,49</w:t>
            </w:r>
            <w:r w:rsidRPr="0005710F">
              <w:rPr>
                <w:sz w:val="18"/>
                <w:szCs w:val="18"/>
              </w:rPr>
              <w:t xml:space="preserve"> </w:t>
            </w:r>
          </w:p>
        </w:tc>
        <w:tc>
          <w:tcPr>
            <w:tcW w:w="1266" w:type="dxa"/>
            <w:tcBorders>
              <w:top w:val="nil"/>
              <w:left w:val="nil"/>
              <w:bottom w:val="nil"/>
              <w:right w:val="nil"/>
            </w:tcBorders>
            <w:shd w:val="clear" w:color="auto" w:fill="auto"/>
            <w:noWrap/>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w:t>
            </w:r>
            <w:r w:rsidRPr="0005710F">
              <w:rPr>
                <w:sz w:val="18"/>
                <w:szCs w:val="18"/>
              </w:rPr>
              <w:t>(0.08)</w:t>
            </w:r>
          </w:p>
        </w:tc>
      </w:tr>
      <w:tr w:rsidR="00DA6596" w:rsidRPr="008C780F" w:rsidTr="00B40FE1">
        <w:trPr>
          <w:trHeight w:val="253"/>
        </w:trPr>
        <w:tc>
          <w:tcPr>
            <w:tcW w:w="4284" w:type="dxa"/>
            <w:tcBorders>
              <w:top w:val="nil"/>
              <w:left w:val="nil"/>
              <w:bottom w:val="nil"/>
              <w:right w:val="nil"/>
            </w:tcBorders>
            <w:shd w:val="clear" w:color="auto" w:fill="auto"/>
            <w:noWrap/>
            <w:vAlign w:val="bottom"/>
            <w:hideMark/>
          </w:tcPr>
          <w:p w:rsidR="00DA6596" w:rsidRPr="008C780F" w:rsidRDefault="00DA6596" w:rsidP="00DA6596">
            <w:pPr>
              <w:spacing w:before="0" w:after="0"/>
              <w:rPr>
                <w:rFonts w:cs="Arial"/>
                <w:color w:val="auto"/>
                <w:sz w:val="20"/>
                <w:szCs w:val="20"/>
                <w:lang w:eastAsia="tr-TR"/>
              </w:rPr>
            </w:pPr>
            <w:r w:rsidRPr="008C780F">
              <w:rPr>
                <w:rFonts w:cs="Arial"/>
                <w:color w:val="auto"/>
                <w:sz w:val="20"/>
                <w:szCs w:val="20"/>
                <w:lang w:eastAsia="tr-TR"/>
              </w:rPr>
              <w:t>Krediler/Toplam Aktifler</w:t>
            </w:r>
            <w:r w:rsidRPr="002A43C0">
              <w:rPr>
                <w:rFonts w:cs="Tahoma"/>
                <w:bCs/>
                <w:i/>
                <w:sz w:val="12"/>
                <w:szCs w:val="14"/>
                <w:vertAlign w:val="superscript"/>
              </w:rPr>
              <w:t>(</w:t>
            </w:r>
            <w:r w:rsidRPr="00B839A0">
              <w:rPr>
                <w:i/>
                <w:sz w:val="12"/>
                <w:szCs w:val="14"/>
              </w:rPr>
              <w:t>2)</w:t>
            </w:r>
          </w:p>
        </w:tc>
        <w:tc>
          <w:tcPr>
            <w:tcW w:w="1999"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43,90</w:t>
            </w:r>
            <w:r w:rsidRPr="0005710F">
              <w:rPr>
                <w:sz w:val="18"/>
                <w:szCs w:val="18"/>
              </w:rPr>
              <w:t xml:space="preserve"> </w:t>
            </w:r>
          </w:p>
        </w:tc>
        <w:tc>
          <w:tcPr>
            <w:tcW w:w="1665"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37,82</w:t>
            </w:r>
            <w:r w:rsidRPr="0005710F">
              <w:rPr>
                <w:sz w:val="18"/>
                <w:szCs w:val="18"/>
              </w:rPr>
              <w:t xml:space="preserve"> </w:t>
            </w:r>
          </w:p>
        </w:tc>
        <w:tc>
          <w:tcPr>
            <w:tcW w:w="1266"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w:t>
            </w:r>
            <w:r w:rsidRPr="0005710F">
              <w:rPr>
                <w:sz w:val="18"/>
                <w:szCs w:val="18"/>
              </w:rPr>
              <w:t>(0.</w:t>
            </w:r>
            <w:r>
              <w:rPr>
                <w:sz w:val="18"/>
                <w:szCs w:val="18"/>
              </w:rPr>
              <w:t>13</w:t>
            </w:r>
            <w:r w:rsidRPr="0005710F">
              <w:rPr>
                <w:sz w:val="18"/>
                <w:szCs w:val="18"/>
              </w:rPr>
              <w:t>)</w:t>
            </w:r>
          </w:p>
        </w:tc>
      </w:tr>
      <w:tr w:rsidR="00DA6596" w:rsidRPr="008C780F" w:rsidTr="00B40FE1">
        <w:trPr>
          <w:trHeight w:val="253"/>
        </w:trPr>
        <w:tc>
          <w:tcPr>
            <w:tcW w:w="4284" w:type="dxa"/>
            <w:tcBorders>
              <w:top w:val="nil"/>
              <w:left w:val="nil"/>
              <w:bottom w:val="nil"/>
              <w:right w:val="nil"/>
            </w:tcBorders>
            <w:shd w:val="clear" w:color="auto" w:fill="auto"/>
            <w:noWrap/>
            <w:vAlign w:val="bottom"/>
            <w:hideMark/>
          </w:tcPr>
          <w:p w:rsidR="00DA6596" w:rsidRPr="008C780F" w:rsidRDefault="00DA6596" w:rsidP="00DA6596">
            <w:pPr>
              <w:spacing w:before="0" w:after="0"/>
              <w:rPr>
                <w:rFonts w:cs="Arial"/>
                <w:color w:val="auto"/>
                <w:sz w:val="20"/>
                <w:szCs w:val="20"/>
                <w:lang w:eastAsia="tr-TR"/>
              </w:rPr>
            </w:pPr>
            <w:r>
              <w:rPr>
                <w:rFonts w:cs="Arial"/>
                <w:color w:val="auto"/>
                <w:sz w:val="20"/>
                <w:szCs w:val="20"/>
                <w:lang w:eastAsia="tr-TR"/>
              </w:rPr>
              <w:t>Mevduat/Toplam Aktifler</w:t>
            </w:r>
            <w:r w:rsidRPr="002A43C0">
              <w:rPr>
                <w:rFonts w:cs="Tahoma"/>
                <w:bCs/>
                <w:i/>
                <w:sz w:val="12"/>
                <w:szCs w:val="14"/>
                <w:vertAlign w:val="superscript"/>
              </w:rPr>
              <w:t>(</w:t>
            </w:r>
            <w:r>
              <w:rPr>
                <w:i/>
                <w:sz w:val="12"/>
                <w:szCs w:val="14"/>
              </w:rPr>
              <w:t>1</w:t>
            </w:r>
            <w:r w:rsidRPr="00B839A0">
              <w:rPr>
                <w:i/>
                <w:sz w:val="12"/>
                <w:szCs w:val="14"/>
              </w:rPr>
              <w:t>)</w:t>
            </w:r>
          </w:p>
        </w:tc>
        <w:tc>
          <w:tcPr>
            <w:tcW w:w="1999"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42,67</w:t>
            </w:r>
            <w:r w:rsidRPr="0005710F">
              <w:rPr>
                <w:sz w:val="18"/>
                <w:szCs w:val="18"/>
              </w:rPr>
              <w:t xml:space="preserve"> </w:t>
            </w:r>
          </w:p>
        </w:tc>
        <w:tc>
          <w:tcPr>
            <w:tcW w:w="1665"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34,73</w:t>
            </w:r>
            <w:r w:rsidRPr="0005710F">
              <w:rPr>
                <w:sz w:val="18"/>
                <w:szCs w:val="18"/>
              </w:rPr>
              <w:t xml:space="preserve"> </w:t>
            </w:r>
          </w:p>
        </w:tc>
        <w:tc>
          <w:tcPr>
            <w:tcW w:w="1266" w:type="dxa"/>
            <w:tcBorders>
              <w:top w:val="nil"/>
              <w:left w:val="nil"/>
              <w:bottom w:val="nil"/>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w:t>
            </w:r>
            <w:r w:rsidRPr="0005710F">
              <w:rPr>
                <w:sz w:val="18"/>
                <w:szCs w:val="18"/>
              </w:rPr>
              <w:t>(0.</w:t>
            </w:r>
            <w:r>
              <w:rPr>
                <w:sz w:val="18"/>
                <w:szCs w:val="18"/>
              </w:rPr>
              <w:t>18</w:t>
            </w:r>
            <w:r w:rsidRPr="0005710F">
              <w:rPr>
                <w:sz w:val="18"/>
                <w:szCs w:val="18"/>
              </w:rPr>
              <w:t>)</w:t>
            </w:r>
          </w:p>
        </w:tc>
      </w:tr>
      <w:tr w:rsidR="00DA6596" w:rsidRPr="008C780F" w:rsidTr="00B40FE1">
        <w:trPr>
          <w:trHeight w:val="268"/>
        </w:trPr>
        <w:tc>
          <w:tcPr>
            <w:tcW w:w="4284" w:type="dxa"/>
            <w:tcBorders>
              <w:top w:val="nil"/>
              <w:left w:val="nil"/>
              <w:bottom w:val="double" w:sz="6" w:space="0" w:color="auto"/>
              <w:right w:val="nil"/>
            </w:tcBorders>
            <w:shd w:val="clear" w:color="000000" w:fill="FFFFFF"/>
            <w:noWrap/>
            <w:vAlign w:val="bottom"/>
            <w:hideMark/>
          </w:tcPr>
          <w:p w:rsidR="00DA6596" w:rsidRPr="008C780F" w:rsidRDefault="00DA6596" w:rsidP="00DA6596">
            <w:pPr>
              <w:spacing w:before="0" w:after="0"/>
              <w:rPr>
                <w:rFonts w:cs="Arial"/>
                <w:color w:val="auto"/>
                <w:sz w:val="20"/>
                <w:szCs w:val="20"/>
                <w:lang w:eastAsia="tr-TR"/>
              </w:rPr>
            </w:pPr>
            <w:r w:rsidRPr="008C780F">
              <w:rPr>
                <w:rFonts w:cs="Arial"/>
                <w:color w:val="auto"/>
                <w:sz w:val="20"/>
                <w:szCs w:val="20"/>
                <w:lang w:eastAsia="tr-TR"/>
              </w:rPr>
              <w:t>Takipteki Kredi Oranı</w:t>
            </w:r>
          </w:p>
        </w:tc>
        <w:tc>
          <w:tcPr>
            <w:tcW w:w="1999" w:type="dxa"/>
            <w:tcBorders>
              <w:top w:val="nil"/>
              <w:left w:val="nil"/>
              <w:bottom w:val="double" w:sz="6" w:space="0" w:color="auto"/>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0.</w:t>
            </w:r>
            <w:r>
              <w:rPr>
                <w:sz w:val="18"/>
                <w:szCs w:val="18"/>
              </w:rPr>
              <w:t>15</w:t>
            </w:r>
            <w:r w:rsidRPr="0005710F">
              <w:rPr>
                <w:sz w:val="18"/>
                <w:szCs w:val="18"/>
              </w:rPr>
              <w:t xml:space="preserve"> </w:t>
            </w:r>
          </w:p>
        </w:tc>
        <w:tc>
          <w:tcPr>
            <w:tcW w:w="1665" w:type="dxa"/>
            <w:tcBorders>
              <w:top w:val="nil"/>
              <w:left w:val="nil"/>
              <w:bottom w:val="double" w:sz="6" w:space="0" w:color="auto"/>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0.</w:t>
            </w:r>
            <w:r>
              <w:rPr>
                <w:sz w:val="18"/>
                <w:szCs w:val="18"/>
              </w:rPr>
              <w:t>37</w:t>
            </w:r>
            <w:r w:rsidRPr="0005710F">
              <w:rPr>
                <w:sz w:val="18"/>
                <w:szCs w:val="18"/>
              </w:rPr>
              <w:t xml:space="preserve"> </w:t>
            </w:r>
          </w:p>
        </w:tc>
        <w:tc>
          <w:tcPr>
            <w:tcW w:w="1266" w:type="dxa"/>
            <w:tcBorders>
              <w:top w:val="nil"/>
              <w:left w:val="nil"/>
              <w:bottom w:val="double" w:sz="6" w:space="0" w:color="auto"/>
              <w:right w:val="nil"/>
            </w:tcBorders>
            <w:shd w:val="clear" w:color="auto" w:fill="auto"/>
            <w:noWrap/>
            <w:hideMark/>
          </w:tcPr>
          <w:p w:rsidR="00DA6596" w:rsidRPr="0005710F" w:rsidRDefault="00DA6596" w:rsidP="00DA6596">
            <w:pPr>
              <w:spacing w:before="0" w:after="0"/>
              <w:jc w:val="right"/>
              <w:rPr>
                <w:rFonts w:cs="Arial"/>
                <w:sz w:val="18"/>
                <w:szCs w:val="18"/>
                <w:lang w:eastAsia="tr-TR"/>
              </w:rPr>
            </w:pPr>
            <w:r w:rsidRPr="0005710F">
              <w:rPr>
                <w:sz w:val="18"/>
                <w:szCs w:val="18"/>
              </w:rPr>
              <w:t xml:space="preserve"> </w:t>
            </w:r>
            <w:r>
              <w:rPr>
                <w:sz w:val="18"/>
                <w:szCs w:val="18"/>
              </w:rPr>
              <w:t>%</w:t>
            </w:r>
            <w:r w:rsidRPr="0005710F">
              <w:rPr>
                <w:sz w:val="18"/>
                <w:szCs w:val="18"/>
              </w:rPr>
              <w:t>(</w:t>
            </w:r>
            <w:r>
              <w:rPr>
                <w:sz w:val="18"/>
                <w:szCs w:val="18"/>
              </w:rPr>
              <w:t>1.44</w:t>
            </w:r>
            <w:r w:rsidRPr="0005710F">
              <w:rPr>
                <w:sz w:val="18"/>
                <w:szCs w:val="18"/>
              </w:rPr>
              <w:t>)</w:t>
            </w:r>
          </w:p>
        </w:tc>
      </w:tr>
    </w:tbl>
    <w:p w:rsidR="00627261" w:rsidRPr="002A43C0" w:rsidRDefault="00627261" w:rsidP="00627261">
      <w:pPr>
        <w:spacing w:before="60" w:after="60"/>
        <w:jc w:val="both"/>
        <w:rPr>
          <w:i/>
          <w:sz w:val="12"/>
          <w:szCs w:val="14"/>
        </w:rPr>
      </w:pPr>
      <w:r w:rsidRPr="00D57AE1">
        <w:rPr>
          <w:rFonts w:cs="Tahoma"/>
          <w:bCs/>
          <w:i/>
          <w:sz w:val="14"/>
          <w:szCs w:val="14"/>
          <w:vertAlign w:val="superscript"/>
        </w:rPr>
        <w:t>(</w:t>
      </w:r>
      <w:r w:rsidRPr="002A43C0">
        <w:rPr>
          <w:rFonts w:cs="Tahoma"/>
          <w:bCs/>
          <w:i/>
          <w:sz w:val="12"/>
          <w:szCs w:val="14"/>
          <w:vertAlign w:val="superscript"/>
        </w:rPr>
        <w:t>1)</w:t>
      </w:r>
      <w:r w:rsidRPr="002A43C0">
        <w:rPr>
          <w:i/>
          <w:sz w:val="12"/>
          <w:szCs w:val="14"/>
        </w:rPr>
        <w:t xml:space="preserve"> Bankalar mevduatı hariçtir.</w:t>
      </w:r>
    </w:p>
    <w:p w:rsidR="00627261" w:rsidRDefault="00627261" w:rsidP="00627261">
      <w:pPr>
        <w:spacing w:before="60" w:after="60"/>
        <w:jc w:val="both"/>
        <w:rPr>
          <w:i/>
          <w:sz w:val="12"/>
          <w:szCs w:val="14"/>
        </w:rPr>
      </w:pPr>
      <w:r w:rsidRPr="002A43C0">
        <w:rPr>
          <w:rFonts w:cs="Tahoma"/>
          <w:bCs/>
          <w:i/>
          <w:sz w:val="12"/>
          <w:szCs w:val="14"/>
          <w:vertAlign w:val="superscript"/>
        </w:rPr>
        <w:t>(</w:t>
      </w:r>
      <w:r w:rsidRPr="00B839A0">
        <w:rPr>
          <w:i/>
          <w:sz w:val="12"/>
          <w:szCs w:val="14"/>
        </w:rPr>
        <w:t>2)</w:t>
      </w:r>
      <w:r w:rsidRPr="002A43C0">
        <w:rPr>
          <w:i/>
          <w:sz w:val="12"/>
          <w:szCs w:val="14"/>
        </w:rPr>
        <w:t xml:space="preserve"> Gerçeğe uygun değer farkı diğer kapsamlı gelire yansıtılan finansal varlık olarak sınıflandırılan krediler dahil edilmiştir.</w:t>
      </w:r>
    </w:p>
    <w:p w:rsidR="00B839A0" w:rsidRPr="00B839A0" w:rsidRDefault="00B839A0" w:rsidP="00B839A0">
      <w:pPr>
        <w:spacing w:before="60" w:after="60"/>
        <w:jc w:val="both"/>
        <w:rPr>
          <w:i/>
          <w:sz w:val="12"/>
          <w:szCs w:val="14"/>
        </w:rPr>
      </w:pPr>
      <w:r w:rsidRPr="00B839A0">
        <w:rPr>
          <w:i/>
          <w:sz w:val="12"/>
          <w:szCs w:val="14"/>
        </w:rPr>
        <w:t>(3) Önceki dön</w:t>
      </w:r>
      <w:r w:rsidR="00912084">
        <w:rPr>
          <w:i/>
          <w:sz w:val="12"/>
          <w:szCs w:val="14"/>
        </w:rPr>
        <w:t>em karlılık rakamları 3</w:t>
      </w:r>
      <w:r w:rsidR="00756420">
        <w:rPr>
          <w:i/>
          <w:sz w:val="12"/>
          <w:szCs w:val="14"/>
        </w:rPr>
        <w:t>0 Haziran</w:t>
      </w:r>
      <w:r w:rsidRPr="00B839A0">
        <w:rPr>
          <w:i/>
          <w:sz w:val="12"/>
          <w:szCs w:val="14"/>
        </w:rPr>
        <w:t xml:space="preserve"> 202</w:t>
      </w:r>
      <w:r w:rsidR="00DA6596">
        <w:rPr>
          <w:i/>
          <w:sz w:val="12"/>
          <w:szCs w:val="14"/>
        </w:rPr>
        <w:t>2</w:t>
      </w:r>
      <w:r w:rsidRPr="00B839A0">
        <w:rPr>
          <w:i/>
          <w:sz w:val="12"/>
          <w:szCs w:val="14"/>
        </w:rPr>
        <w:t xml:space="preserve"> bakiyesidir.</w:t>
      </w:r>
    </w:p>
    <w:p w:rsidR="006456A6" w:rsidRDefault="006456A6">
      <w:pPr>
        <w:spacing w:before="0" w:after="200" w:line="276" w:lineRule="auto"/>
        <w:rPr>
          <w:rFonts w:cs="Tahoma"/>
          <w:bCs/>
          <w:i/>
          <w:sz w:val="12"/>
          <w:szCs w:val="14"/>
        </w:rPr>
      </w:pPr>
      <w:r>
        <w:rPr>
          <w:rFonts w:cs="Tahoma"/>
          <w:bCs/>
          <w:i/>
          <w:sz w:val="12"/>
          <w:szCs w:val="14"/>
        </w:rPr>
        <w:br w:type="page"/>
      </w:r>
    </w:p>
    <w:p w:rsidR="00D55492" w:rsidRDefault="00D55492" w:rsidP="00D55492">
      <w:pPr>
        <w:pStyle w:val="Heading1"/>
        <w:ind w:right="-568"/>
      </w:pPr>
      <w:bookmarkStart w:id="5" w:name="_Toc161725315"/>
      <w:bookmarkStart w:id="6" w:name="_Toc161725331"/>
      <w:r>
        <w:lastRenderedPageBreak/>
        <w:t>Dönem İçindeki Önemli Olaylar ve İşlemler</w:t>
      </w:r>
    </w:p>
    <w:p w:rsidR="00D55492" w:rsidRDefault="00D55492" w:rsidP="00D55492">
      <w:r>
        <w:t>Bulunmamaktadır.</w:t>
      </w:r>
      <w:bookmarkStart w:id="7" w:name="OLE_LINK18"/>
      <w:bookmarkEnd w:id="5"/>
      <w:bookmarkEnd w:id="6"/>
      <w:bookmarkEnd w:id="4"/>
    </w:p>
    <w:p w:rsidR="006F376B" w:rsidRPr="000B5690" w:rsidRDefault="006F376B" w:rsidP="006F376B">
      <w:pPr>
        <w:pStyle w:val="Heading1"/>
      </w:pPr>
      <w:r>
        <w:t xml:space="preserve">Ana Ortalık </w:t>
      </w:r>
      <w:r w:rsidRPr="000B5690">
        <w:t>Banka</w:t>
      </w:r>
      <w:r>
        <w:t>’</w:t>
      </w:r>
      <w:r w:rsidRPr="000B5690">
        <w:t>nın Dâhil Olduğu Risk Grubu İle Yaptığı İşlemlere İlişkin Bilgiler</w:t>
      </w:r>
    </w:p>
    <w:p w:rsidR="006F376B" w:rsidRDefault="006F376B" w:rsidP="006F376B">
      <w:pPr>
        <w:pStyle w:val="anayaz"/>
        <w:ind w:right="-142"/>
      </w:pPr>
      <w:r w:rsidRPr="000B5690">
        <w:t>Banka’nın dâhil olduğu risk grubu ile olan ilişkileri Bankacılık Kanunu’na uygun olarak, normal banka-müşteri ilişkisi çerçevesinde ve piyasa koşulları dâhilinde her türlü bankacılık işlemlerini kapsamaktadır. Söz konusu işlemlerle ilgili ayrıntılı açıklamalar “</w:t>
      </w:r>
      <w:r w:rsidR="000B7BA6">
        <w:t>3</w:t>
      </w:r>
      <w:r w:rsidR="00756420">
        <w:t>0</w:t>
      </w:r>
      <w:r w:rsidR="000B7BA6">
        <w:t xml:space="preserve"> </w:t>
      </w:r>
      <w:r w:rsidR="00756420">
        <w:t>Haziran</w:t>
      </w:r>
      <w:r>
        <w:t xml:space="preserve"> 2</w:t>
      </w:r>
      <w:r w:rsidR="00917536">
        <w:t>02</w:t>
      </w:r>
      <w:r w:rsidR="00980494">
        <w:t>3</w:t>
      </w:r>
      <w:r w:rsidRPr="000B5690">
        <w:t xml:space="preserve"> tarihi itibarıyla hazırlanan Kamuya Açıklanacak Konsolide Mali Tablolar, Bunlara İlişkin Açıklama ve Dipnotlar ile Sınırlı Bağımsız Denetim Raporu”nun beşinci </w:t>
      </w:r>
      <w:r w:rsidRPr="0099170B">
        <w:t>bölümünün V no.lu dipnotunda yer almaktadır.</w:t>
      </w:r>
    </w:p>
    <w:p w:rsidR="006F376B" w:rsidRPr="000B5690" w:rsidRDefault="006F376B" w:rsidP="006F376B">
      <w:pPr>
        <w:pStyle w:val="Heading1"/>
        <w:spacing w:before="240" w:after="240"/>
        <w:rPr>
          <w:color w:val="2F2F2F"/>
        </w:rPr>
      </w:pPr>
      <w:r w:rsidRPr="000B5690">
        <w:t>Risk Türleri İtibariyl</w:t>
      </w:r>
      <w:r>
        <w:t>a</w:t>
      </w:r>
      <w:r w:rsidRPr="000B5690">
        <w:t xml:space="preserve"> Uygulanan Risk Yönetimi Politikalarına İlişkin Bilgiler</w:t>
      </w:r>
      <w:r w:rsidRPr="000B5690">
        <w:rPr>
          <w:color w:val="2F2F2F"/>
        </w:rPr>
        <w:t xml:space="preserve"> </w:t>
      </w:r>
    </w:p>
    <w:p w:rsidR="006F376B" w:rsidRPr="000B5690" w:rsidRDefault="006F376B" w:rsidP="006F376B">
      <w:r w:rsidRPr="000B5690">
        <w:rPr>
          <w:rFonts w:cs="Cambria"/>
          <w:color w:val="auto"/>
          <w:szCs w:val="22"/>
          <w:lang w:eastAsia="tr-TR"/>
        </w:rPr>
        <w:t>Rapor dönemi itibarıyla herhangi bir değişiklik olmamıştır.</w:t>
      </w:r>
    </w:p>
    <w:bookmarkEnd w:id="7"/>
    <w:p w:rsidR="006F376B" w:rsidRPr="000B5690" w:rsidRDefault="006F376B" w:rsidP="006F376B">
      <w:pPr>
        <w:pStyle w:val="Heading1"/>
        <w:ind w:right="142"/>
      </w:pPr>
      <w:r w:rsidRPr="000B5690">
        <w:t>Yıl İçinde Yapılan Bağışlar Hakkında Bilgiler</w:t>
      </w:r>
    </w:p>
    <w:p w:rsidR="003D53E8" w:rsidRDefault="00BD677F" w:rsidP="003D53E8">
      <w:pPr>
        <w:autoSpaceDE w:val="0"/>
        <w:autoSpaceDN w:val="0"/>
        <w:adjustRightInd w:val="0"/>
        <w:jc w:val="both"/>
        <w:rPr>
          <w:rFonts w:cs="Tahoma"/>
          <w:color w:val="auto"/>
          <w:szCs w:val="22"/>
        </w:rPr>
      </w:pPr>
      <w:bookmarkStart w:id="8" w:name="OLE_LINK19"/>
      <w:bookmarkStart w:id="9" w:name="OLE_LINK26"/>
      <w:r>
        <w:rPr>
          <w:rFonts w:cs="Tahoma"/>
          <w:color w:val="auto"/>
          <w:szCs w:val="22"/>
        </w:rPr>
        <w:t>3</w:t>
      </w:r>
      <w:r w:rsidR="00756420">
        <w:rPr>
          <w:rFonts w:cs="Tahoma"/>
          <w:color w:val="auto"/>
          <w:szCs w:val="22"/>
        </w:rPr>
        <w:t>0</w:t>
      </w:r>
      <w:r w:rsidR="003D53E8">
        <w:rPr>
          <w:rFonts w:cs="Tahoma"/>
          <w:color w:val="auto"/>
          <w:szCs w:val="22"/>
        </w:rPr>
        <w:t xml:space="preserve"> </w:t>
      </w:r>
      <w:r w:rsidR="00756420">
        <w:rPr>
          <w:rFonts w:cs="Tahoma"/>
          <w:color w:val="auto"/>
          <w:szCs w:val="22"/>
        </w:rPr>
        <w:t>Haziran</w:t>
      </w:r>
      <w:r>
        <w:rPr>
          <w:rFonts w:cs="Tahoma"/>
          <w:color w:val="auto"/>
          <w:szCs w:val="22"/>
        </w:rPr>
        <w:t xml:space="preserve"> 202</w:t>
      </w:r>
      <w:r w:rsidR="00DA6596">
        <w:rPr>
          <w:rFonts w:cs="Tahoma"/>
          <w:color w:val="auto"/>
          <w:szCs w:val="22"/>
        </w:rPr>
        <w:t>3</w:t>
      </w:r>
      <w:r w:rsidR="003D53E8" w:rsidRPr="002F5032">
        <w:rPr>
          <w:rFonts w:cs="Tahoma"/>
          <w:color w:val="auto"/>
          <w:szCs w:val="22"/>
        </w:rPr>
        <w:t>sonu bağış listesi aşağıda verilmiştir:</w:t>
      </w:r>
    </w:p>
    <w:tbl>
      <w:tblPr>
        <w:tblW w:w="8899" w:type="dxa"/>
        <w:tblInd w:w="70" w:type="dxa"/>
        <w:tblCellMar>
          <w:left w:w="70" w:type="dxa"/>
          <w:right w:w="70" w:type="dxa"/>
        </w:tblCellMar>
        <w:tblLook w:val="04A0" w:firstRow="1" w:lastRow="0" w:firstColumn="1" w:lastColumn="0" w:noHBand="0" w:noVBand="1"/>
      </w:tblPr>
      <w:tblGrid>
        <w:gridCol w:w="6655"/>
        <w:gridCol w:w="2244"/>
      </w:tblGrid>
      <w:tr w:rsidR="00756420" w:rsidRPr="00756420" w:rsidTr="0037548D">
        <w:trPr>
          <w:trHeight w:val="295"/>
        </w:trPr>
        <w:tc>
          <w:tcPr>
            <w:tcW w:w="6655" w:type="dxa"/>
            <w:tcBorders>
              <w:top w:val="single" w:sz="4" w:space="0" w:color="auto"/>
              <w:left w:val="nil"/>
              <w:bottom w:val="single" w:sz="4" w:space="0" w:color="auto"/>
              <w:right w:val="nil"/>
            </w:tcBorders>
            <w:shd w:val="clear" w:color="000000" w:fill="FFCC99"/>
            <w:noWrap/>
            <w:vAlign w:val="bottom"/>
            <w:hideMark/>
          </w:tcPr>
          <w:p w:rsidR="00756420" w:rsidRPr="00756420" w:rsidRDefault="00756420" w:rsidP="00756420">
            <w:pPr>
              <w:spacing w:before="0" w:after="0"/>
              <w:rPr>
                <w:rFonts w:cs="Arial"/>
                <w:b/>
                <w:bCs/>
                <w:szCs w:val="22"/>
                <w:lang w:eastAsia="tr-TR"/>
              </w:rPr>
            </w:pPr>
            <w:r w:rsidRPr="00756420">
              <w:rPr>
                <w:rFonts w:cs="Arial"/>
                <w:b/>
                <w:bCs/>
                <w:lang w:eastAsia="tr-TR"/>
              </w:rPr>
              <w:t>Bağış Yapılan Kurum (tam rakam)</w:t>
            </w:r>
          </w:p>
        </w:tc>
        <w:tc>
          <w:tcPr>
            <w:tcW w:w="2244" w:type="dxa"/>
            <w:tcBorders>
              <w:top w:val="single" w:sz="4" w:space="0" w:color="auto"/>
              <w:left w:val="nil"/>
              <w:bottom w:val="single" w:sz="4" w:space="0" w:color="auto"/>
              <w:right w:val="nil"/>
            </w:tcBorders>
            <w:shd w:val="clear" w:color="000000" w:fill="FFCC99"/>
            <w:noWrap/>
            <w:vAlign w:val="center"/>
            <w:hideMark/>
          </w:tcPr>
          <w:p w:rsidR="00756420" w:rsidRPr="00756420" w:rsidRDefault="00756420" w:rsidP="00756420">
            <w:pPr>
              <w:spacing w:before="0" w:after="0"/>
              <w:jc w:val="right"/>
              <w:rPr>
                <w:rFonts w:cs="Arial"/>
                <w:b/>
                <w:bCs/>
                <w:szCs w:val="22"/>
                <w:lang w:eastAsia="tr-TR"/>
              </w:rPr>
            </w:pPr>
            <w:r w:rsidRPr="00756420">
              <w:rPr>
                <w:rFonts w:cs="Arial"/>
                <w:b/>
                <w:bCs/>
                <w:szCs w:val="22"/>
                <w:lang w:eastAsia="tr-TR"/>
              </w:rPr>
              <w:t>Tutar (TL)</w:t>
            </w:r>
          </w:p>
        </w:tc>
      </w:tr>
      <w:tr w:rsidR="00DA6596" w:rsidRPr="00756420" w:rsidTr="00756420">
        <w:trPr>
          <w:trHeight w:val="371"/>
        </w:trPr>
        <w:tc>
          <w:tcPr>
            <w:tcW w:w="6655" w:type="dxa"/>
            <w:tcBorders>
              <w:top w:val="nil"/>
              <w:left w:val="nil"/>
              <w:bottom w:val="nil"/>
              <w:right w:val="nil"/>
            </w:tcBorders>
            <w:shd w:val="clear" w:color="000000" w:fill="FFFFFF"/>
            <w:vAlign w:val="center"/>
            <w:hideMark/>
          </w:tcPr>
          <w:p w:rsidR="00DA6596" w:rsidRPr="00642F96" w:rsidRDefault="00DA6596" w:rsidP="00DA6596">
            <w:pPr>
              <w:rPr>
                <w:rFonts w:cs="Arial"/>
                <w:bCs/>
                <w:sz w:val="18"/>
                <w:szCs w:val="18"/>
                <w:lang w:eastAsia="tr-TR"/>
              </w:rPr>
            </w:pPr>
            <w:r w:rsidRPr="00E1371D">
              <w:rPr>
                <w:rFonts w:cs="Arial"/>
                <w:bCs/>
                <w:sz w:val="18"/>
                <w:szCs w:val="18"/>
                <w:lang w:eastAsia="tr-TR"/>
              </w:rPr>
              <w:t>Deprem Bağışı</w:t>
            </w:r>
          </w:p>
        </w:tc>
        <w:tc>
          <w:tcPr>
            <w:tcW w:w="2244" w:type="dxa"/>
            <w:tcBorders>
              <w:top w:val="nil"/>
              <w:left w:val="nil"/>
              <w:bottom w:val="nil"/>
              <w:right w:val="nil"/>
            </w:tcBorders>
            <w:shd w:val="clear" w:color="000000" w:fill="FFFFFF"/>
            <w:vAlign w:val="center"/>
            <w:hideMark/>
          </w:tcPr>
          <w:p w:rsidR="00DA6596" w:rsidRPr="00642F96" w:rsidRDefault="00DA6596" w:rsidP="00DA6596">
            <w:pPr>
              <w:ind w:left="57"/>
              <w:jc w:val="right"/>
              <w:rPr>
                <w:rFonts w:cs="Arial"/>
                <w:bCs/>
                <w:sz w:val="18"/>
                <w:szCs w:val="18"/>
                <w:lang w:eastAsia="tr-TR"/>
              </w:rPr>
            </w:pPr>
            <w:r w:rsidRPr="00E1371D">
              <w:rPr>
                <w:rFonts w:cs="Arial"/>
                <w:bCs/>
                <w:sz w:val="18"/>
                <w:szCs w:val="18"/>
                <w:lang w:eastAsia="tr-TR"/>
              </w:rPr>
              <w:t>1</w:t>
            </w:r>
            <w:r>
              <w:rPr>
                <w:rFonts w:cs="Arial"/>
                <w:bCs/>
                <w:sz w:val="18"/>
                <w:szCs w:val="18"/>
                <w:lang w:eastAsia="tr-TR"/>
              </w:rPr>
              <w:t>00,</w:t>
            </w:r>
            <w:r w:rsidRPr="00E1371D">
              <w:rPr>
                <w:rFonts w:cs="Arial"/>
                <w:bCs/>
                <w:sz w:val="18"/>
                <w:szCs w:val="18"/>
                <w:lang w:eastAsia="tr-TR"/>
              </w:rPr>
              <w:t>0</w:t>
            </w:r>
            <w:r>
              <w:rPr>
                <w:rFonts w:cs="Arial"/>
                <w:bCs/>
                <w:sz w:val="18"/>
                <w:szCs w:val="18"/>
                <w:lang w:eastAsia="tr-TR"/>
              </w:rPr>
              <w:t>00.00</w:t>
            </w:r>
          </w:p>
        </w:tc>
      </w:tr>
      <w:tr w:rsidR="00DA6596" w:rsidRPr="00756420" w:rsidTr="00756420">
        <w:trPr>
          <w:trHeight w:val="428"/>
        </w:trPr>
        <w:tc>
          <w:tcPr>
            <w:tcW w:w="6655" w:type="dxa"/>
            <w:tcBorders>
              <w:top w:val="nil"/>
              <w:left w:val="nil"/>
              <w:bottom w:val="nil"/>
              <w:right w:val="nil"/>
            </w:tcBorders>
            <w:shd w:val="clear" w:color="000000" w:fill="FFFFFF"/>
            <w:vAlign w:val="center"/>
          </w:tcPr>
          <w:p w:rsidR="00DA6596" w:rsidRPr="00642F96" w:rsidRDefault="00DA6596" w:rsidP="00DA6596">
            <w:pPr>
              <w:rPr>
                <w:rFonts w:cs="Arial"/>
                <w:bCs/>
                <w:sz w:val="18"/>
                <w:szCs w:val="18"/>
                <w:lang w:eastAsia="tr-TR"/>
              </w:rPr>
            </w:pPr>
            <w:r w:rsidRPr="00E1371D">
              <w:rPr>
                <w:rFonts w:cs="Arial"/>
                <w:bCs/>
                <w:sz w:val="18"/>
                <w:szCs w:val="18"/>
                <w:lang w:eastAsia="tr-TR"/>
              </w:rPr>
              <w:t xml:space="preserve"> Türkiye Bankalar Birliği</w:t>
            </w:r>
          </w:p>
        </w:tc>
        <w:tc>
          <w:tcPr>
            <w:tcW w:w="2244" w:type="dxa"/>
            <w:tcBorders>
              <w:top w:val="nil"/>
              <w:left w:val="nil"/>
              <w:bottom w:val="nil"/>
              <w:right w:val="nil"/>
            </w:tcBorders>
            <w:shd w:val="clear" w:color="000000" w:fill="FFFFFF"/>
            <w:vAlign w:val="center"/>
          </w:tcPr>
          <w:p w:rsidR="00DA6596" w:rsidRPr="00642F96" w:rsidRDefault="00DA6596" w:rsidP="00DA6596">
            <w:pPr>
              <w:ind w:left="57"/>
              <w:jc w:val="right"/>
              <w:rPr>
                <w:rFonts w:cs="Arial"/>
                <w:bCs/>
                <w:sz w:val="18"/>
                <w:szCs w:val="18"/>
                <w:lang w:eastAsia="tr-TR"/>
              </w:rPr>
            </w:pPr>
            <w:r>
              <w:rPr>
                <w:rFonts w:cs="Arial"/>
                <w:bCs/>
                <w:sz w:val="18"/>
                <w:szCs w:val="18"/>
                <w:lang w:eastAsia="tr-TR"/>
              </w:rPr>
              <w:t>64,000.00</w:t>
            </w:r>
          </w:p>
        </w:tc>
      </w:tr>
      <w:tr w:rsidR="00DA6596" w:rsidRPr="00756420" w:rsidTr="00756420">
        <w:trPr>
          <w:trHeight w:val="428"/>
        </w:trPr>
        <w:tc>
          <w:tcPr>
            <w:tcW w:w="6655" w:type="dxa"/>
            <w:tcBorders>
              <w:top w:val="nil"/>
              <w:left w:val="nil"/>
              <w:bottom w:val="nil"/>
              <w:right w:val="nil"/>
            </w:tcBorders>
            <w:shd w:val="clear" w:color="000000" w:fill="FFFFFF"/>
            <w:vAlign w:val="center"/>
          </w:tcPr>
          <w:p w:rsidR="00DA6596" w:rsidRDefault="00DA6596" w:rsidP="00DA6596">
            <w:pPr>
              <w:rPr>
                <w:rFonts w:cs="Arial"/>
                <w:bCs/>
                <w:sz w:val="18"/>
                <w:szCs w:val="18"/>
                <w:lang w:eastAsia="tr-TR"/>
              </w:rPr>
            </w:pPr>
            <w:r w:rsidRPr="00E1371D">
              <w:rPr>
                <w:rFonts w:cs="Arial"/>
                <w:bCs/>
                <w:sz w:val="18"/>
                <w:szCs w:val="18"/>
                <w:lang w:eastAsia="tr-TR"/>
              </w:rPr>
              <w:t>Türk Eğitim Vakfi</w:t>
            </w:r>
          </w:p>
        </w:tc>
        <w:tc>
          <w:tcPr>
            <w:tcW w:w="2244" w:type="dxa"/>
            <w:tcBorders>
              <w:top w:val="nil"/>
              <w:left w:val="nil"/>
              <w:bottom w:val="nil"/>
              <w:right w:val="nil"/>
            </w:tcBorders>
            <w:shd w:val="clear" w:color="000000" w:fill="FFFFFF"/>
            <w:vAlign w:val="center"/>
          </w:tcPr>
          <w:p w:rsidR="00DA6596" w:rsidRPr="00642F96" w:rsidRDefault="00DA6596" w:rsidP="00DA6596">
            <w:pPr>
              <w:ind w:left="57"/>
              <w:jc w:val="right"/>
              <w:rPr>
                <w:rFonts w:cs="Arial"/>
                <w:bCs/>
                <w:sz w:val="18"/>
                <w:szCs w:val="18"/>
                <w:lang w:eastAsia="tr-TR"/>
              </w:rPr>
            </w:pPr>
            <w:r w:rsidRPr="00E1371D">
              <w:rPr>
                <w:rFonts w:cs="Arial"/>
                <w:bCs/>
                <w:sz w:val="18"/>
                <w:szCs w:val="18"/>
                <w:lang w:eastAsia="tr-TR"/>
              </w:rPr>
              <w:t>6</w:t>
            </w:r>
            <w:r>
              <w:rPr>
                <w:rFonts w:cs="Arial"/>
                <w:bCs/>
                <w:sz w:val="18"/>
                <w:szCs w:val="18"/>
                <w:lang w:eastAsia="tr-TR"/>
              </w:rPr>
              <w:t>,000.00</w:t>
            </w:r>
          </w:p>
        </w:tc>
      </w:tr>
      <w:tr w:rsidR="00756420" w:rsidRPr="00756420" w:rsidTr="0037548D">
        <w:trPr>
          <w:trHeight w:val="279"/>
        </w:trPr>
        <w:tc>
          <w:tcPr>
            <w:tcW w:w="6655" w:type="dxa"/>
            <w:tcBorders>
              <w:top w:val="single" w:sz="4" w:space="0" w:color="auto"/>
              <w:left w:val="nil"/>
              <w:bottom w:val="double" w:sz="6" w:space="0" w:color="auto"/>
              <w:right w:val="nil"/>
            </w:tcBorders>
            <w:shd w:val="clear" w:color="000000" w:fill="FFFFFF"/>
            <w:noWrap/>
            <w:vAlign w:val="center"/>
            <w:hideMark/>
          </w:tcPr>
          <w:p w:rsidR="00756420" w:rsidRPr="00756420" w:rsidRDefault="00756420" w:rsidP="00756420">
            <w:pPr>
              <w:spacing w:before="0" w:after="0"/>
              <w:rPr>
                <w:rFonts w:cs="Arial"/>
                <w:b/>
                <w:color w:val="auto"/>
                <w:sz w:val="20"/>
                <w:szCs w:val="20"/>
                <w:lang w:eastAsia="tr-TR"/>
              </w:rPr>
            </w:pPr>
            <w:r w:rsidRPr="00756420">
              <w:rPr>
                <w:rFonts w:cs="Arial"/>
                <w:b/>
                <w:color w:val="auto"/>
                <w:sz w:val="20"/>
                <w:szCs w:val="20"/>
                <w:lang w:eastAsia="tr-TR"/>
              </w:rPr>
              <w:t>Toplam</w:t>
            </w:r>
          </w:p>
        </w:tc>
        <w:tc>
          <w:tcPr>
            <w:tcW w:w="2244" w:type="dxa"/>
            <w:tcBorders>
              <w:top w:val="single" w:sz="4" w:space="0" w:color="auto"/>
              <w:left w:val="nil"/>
              <w:bottom w:val="double" w:sz="6" w:space="0" w:color="auto"/>
              <w:right w:val="nil"/>
            </w:tcBorders>
            <w:shd w:val="clear" w:color="000000" w:fill="FFFFFF"/>
            <w:vAlign w:val="center"/>
            <w:hideMark/>
          </w:tcPr>
          <w:p w:rsidR="00756420" w:rsidRPr="00756420" w:rsidRDefault="00DA6596" w:rsidP="00756420">
            <w:pPr>
              <w:spacing w:before="0" w:after="0"/>
              <w:jc w:val="right"/>
              <w:rPr>
                <w:rFonts w:cs="Tahoma"/>
                <w:b/>
                <w:sz w:val="20"/>
                <w:szCs w:val="20"/>
              </w:rPr>
            </w:pPr>
            <w:r>
              <w:rPr>
                <w:rFonts w:cs="Tahoma"/>
                <w:b/>
                <w:sz w:val="20"/>
                <w:szCs w:val="20"/>
              </w:rPr>
              <w:t>170,000.00</w:t>
            </w:r>
          </w:p>
        </w:tc>
      </w:tr>
    </w:tbl>
    <w:bookmarkEnd w:id="8"/>
    <w:bookmarkEnd w:id="9"/>
    <w:p w:rsidR="006F376B" w:rsidRPr="000B5690" w:rsidRDefault="00097741" w:rsidP="00FF2A22">
      <w:pPr>
        <w:pStyle w:val="Heading1"/>
        <w:spacing w:before="240" w:after="240" w:line="216" w:lineRule="auto"/>
      </w:pPr>
      <w:r>
        <w:t>K</w:t>
      </w:r>
      <w:r w:rsidR="006F376B" w:rsidRPr="000B5690">
        <w:t>onsolide</w:t>
      </w:r>
      <w:r w:rsidR="006F376B" w:rsidRPr="000B5690">
        <w:rPr>
          <w:noProof/>
          <w:lang w:eastAsia="tr-T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8575" cy="285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0" w:name="_Toc161725327"/>
      <w:r w:rsidR="006F376B" w:rsidRPr="000B5690">
        <w:t xml:space="preserve"> Sınırlı Denetim Raporu</w:t>
      </w:r>
      <w:bookmarkStart w:id="11" w:name="_Toc161725329"/>
      <w:bookmarkEnd w:id="10"/>
      <w:r w:rsidR="006F376B" w:rsidRPr="000B5690">
        <w:t xml:space="preserve"> </w:t>
      </w:r>
      <w:bookmarkEnd w:id="11"/>
    </w:p>
    <w:p w:rsidR="006F376B" w:rsidRDefault="006F376B" w:rsidP="00FF2A22">
      <w:pPr>
        <w:spacing w:line="216" w:lineRule="auto"/>
        <w:ind w:right="-284"/>
        <w:jc w:val="both"/>
        <w:rPr>
          <w:rFonts w:cs="Tahoma"/>
          <w:color w:val="auto"/>
          <w:szCs w:val="22"/>
        </w:rPr>
      </w:pPr>
      <w:r w:rsidRPr="000B5690">
        <w:rPr>
          <w:rFonts w:cs="Tahoma"/>
          <w:color w:val="auto"/>
          <w:szCs w:val="22"/>
        </w:rPr>
        <w:t>ICBC Turkey Bank Anonim Şirketi’nin (ICBC Turkey)</w:t>
      </w:r>
      <w:r w:rsidRPr="000B5690">
        <w:rPr>
          <w:rFonts w:cs="StagSans-Light"/>
          <w:color w:val="3C3C3B"/>
          <w:sz w:val="24"/>
          <w:lang w:eastAsia="tr-TR"/>
        </w:rPr>
        <w:t xml:space="preserve"> </w:t>
      </w:r>
      <w:r w:rsidRPr="000B5690">
        <w:rPr>
          <w:rFonts w:cs="Tahoma"/>
          <w:color w:val="auto"/>
          <w:szCs w:val="22"/>
        </w:rPr>
        <w:t xml:space="preserve">Borsa İstanbul’a yapılan tüm özel durum açıklamalarına, </w:t>
      </w:r>
      <w:r w:rsidR="000C6A46">
        <w:rPr>
          <w:rFonts w:cs="Tahoma"/>
          <w:color w:val="auto"/>
          <w:szCs w:val="22"/>
        </w:rPr>
        <w:t>3</w:t>
      </w:r>
      <w:r w:rsidR="00756420">
        <w:rPr>
          <w:rFonts w:cs="Tahoma"/>
          <w:color w:val="auto"/>
          <w:szCs w:val="22"/>
        </w:rPr>
        <w:t>0</w:t>
      </w:r>
      <w:r w:rsidR="009B7C9A">
        <w:rPr>
          <w:rFonts w:cs="Tahoma"/>
          <w:color w:val="auto"/>
          <w:szCs w:val="22"/>
        </w:rPr>
        <w:t>.0</w:t>
      </w:r>
      <w:r w:rsidR="00756420">
        <w:rPr>
          <w:rFonts w:cs="Tahoma"/>
          <w:color w:val="auto"/>
          <w:szCs w:val="22"/>
        </w:rPr>
        <w:t>6</w:t>
      </w:r>
      <w:r w:rsidR="009B7C9A">
        <w:rPr>
          <w:rFonts w:cs="Tahoma"/>
          <w:color w:val="auto"/>
          <w:szCs w:val="22"/>
        </w:rPr>
        <w:t>.202</w:t>
      </w:r>
      <w:bookmarkStart w:id="12" w:name="_GoBack"/>
      <w:bookmarkEnd w:id="12"/>
      <w:r w:rsidR="00DA6596">
        <w:rPr>
          <w:rFonts w:cs="Tahoma"/>
          <w:color w:val="auto"/>
          <w:szCs w:val="22"/>
        </w:rPr>
        <w:t>3</w:t>
      </w:r>
      <w:r w:rsidRPr="000B5690">
        <w:rPr>
          <w:rFonts w:cs="Tahoma"/>
          <w:color w:val="auto"/>
          <w:szCs w:val="22"/>
        </w:rPr>
        <w:t xml:space="preserve"> tarihinde sona eren </w:t>
      </w:r>
      <w:r w:rsidR="00756420">
        <w:rPr>
          <w:rFonts w:cs="Tahoma"/>
          <w:color w:val="auto"/>
          <w:szCs w:val="22"/>
        </w:rPr>
        <w:t>altı</w:t>
      </w:r>
      <w:r w:rsidR="006456A6">
        <w:rPr>
          <w:rFonts w:cs="Tahoma"/>
          <w:color w:val="auto"/>
          <w:szCs w:val="22"/>
        </w:rPr>
        <w:t xml:space="preserve"> aylık </w:t>
      </w:r>
      <w:r w:rsidRPr="000B5690">
        <w:rPr>
          <w:rFonts w:cs="Tahoma"/>
          <w:color w:val="auto"/>
          <w:szCs w:val="22"/>
        </w:rPr>
        <w:t xml:space="preserve">hesap dönemine ait Konsolide Finansal Tabloları ile Sınırlı Bağımsız Denetim Raporu’na ve ICBC Turkey faaliyetleri hakkında detaylı bilgi için raporlara </w:t>
      </w:r>
      <w:hyperlink r:id="rId11" w:history="1">
        <w:r w:rsidRPr="000B5690">
          <w:rPr>
            <w:rStyle w:val="Hyperlink"/>
            <w:rFonts w:cs="Tahoma"/>
            <w:b/>
            <w:bCs/>
            <w:szCs w:val="22"/>
          </w:rPr>
          <w:t>www.icbc.com</w:t>
        </w:r>
      </w:hyperlink>
      <w:r w:rsidRPr="008B7DBA">
        <w:rPr>
          <w:rStyle w:val="Hyperlink"/>
          <w:rFonts w:cs="Tahoma"/>
          <w:b/>
          <w:szCs w:val="22"/>
        </w:rPr>
        <w:t>.tr</w:t>
      </w:r>
      <w:r w:rsidRPr="000B5690">
        <w:rPr>
          <w:rFonts w:cs="Tahoma"/>
          <w:b/>
          <w:bCs/>
          <w:color w:val="auto"/>
          <w:szCs w:val="22"/>
        </w:rPr>
        <w:t xml:space="preserve"> </w:t>
      </w:r>
      <w:r w:rsidRPr="000B5690">
        <w:rPr>
          <w:rFonts w:cs="Tahoma"/>
          <w:color w:val="auto"/>
          <w:szCs w:val="22"/>
        </w:rPr>
        <w:t>adresindeki “</w:t>
      </w:r>
      <w:r w:rsidRPr="000B5690">
        <w:rPr>
          <w:rFonts w:cs="Tahoma"/>
          <w:bCs/>
          <w:color w:val="auto"/>
          <w:szCs w:val="22"/>
        </w:rPr>
        <w:t>Yatırımcı İlişkileri</w:t>
      </w:r>
      <w:r w:rsidRPr="000B5690">
        <w:rPr>
          <w:rFonts w:cs="Tahoma"/>
          <w:color w:val="auto"/>
          <w:szCs w:val="22"/>
        </w:rPr>
        <w:t>” başlığı altında yer alan Finansal Bilgilerden ulaşılması mümkündür.</w:t>
      </w:r>
    </w:p>
    <w:sectPr w:rsidR="006F376B" w:rsidSect="00CA2772">
      <w:headerReference w:type="default" r:id="rId12"/>
      <w:footerReference w:type="even" r:id="rId13"/>
      <w:footerReference w:type="default" r:id="rId14"/>
      <w:pgSz w:w="11907" w:h="16840" w:code="9"/>
      <w:pgMar w:top="993" w:right="1559" w:bottom="1134" w:left="1701"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2FF" w:rsidRDefault="008172FF" w:rsidP="006F376B">
      <w:pPr>
        <w:spacing w:before="0" w:after="0"/>
      </w:pPr>
      <w:r>
        <w:separator/>
      </w:r>
    </w:p>
  </w:endnote>
  <w:endnote w:type="continuationSeparator" w:id="0">
    <w:p w:rsidR="008172FF" w:rsidRDefault="008172FF" w:rsidP="006F37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tagSans-Light">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FF" w:rsidRDefault="008172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72FF" w:rsidRDefault="00817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FF" w:rsidRDefault="008172FF">
    <w:pPr>
      <w:pStyle w:val="Footer"/>
      <w:ind w:right="360"/>
      <w:rPr>
        <w:rFonts w:ascii="Tahoma" w:hAnsi="Tahoma" w:cs="Tahoma"/>
        <w:sz w:val="18"/>
      </w:rPr>
    </w:pPr>
    <w:r>
      <w:rPr>
        <w:noProof/>
        <w:sz w:val="20"/>
        <w:lang w:eastAsia="tr-T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-70485</wp:posOffset>
              </wp:positionV>
              <wp:extent cx="5829300" cy="0"/>
              <wp:effectExtent l="13335" t="9525" r="1524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A42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5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" strokecolor="#f90" strokeweight="1.5pt"/>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2FF" w:rsidRDefault="008172FF" w:rsidP="006F376B">
      <w:pPr>
        <w:spacing w:before="0" w:after="0"/>
      </w:pPr>
      <w:r>
        <w:separator/>
      </w:r>
    </w:p>
  </w:footnote>
  <w:footnote w:type="continuationSeparator" w:id="0">
    <w:p w:rsidR="008172FF" w:rsidRDefault="008172FF" w:rsidP="006F37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FF" w:rsidRPr="00FF1BF8" w:rsidRDefault="008172FF" w:rsidP="00CA2772">
    <w:pPr>
      <w:jc w:val="center"/>
      <w:rPr>
        <w:rFonts w:cs="Tahoma"/>
        <w:b/>
        <w:bCs/>
        <w:color w:val="FF6600"/>
        <w:szCs w:val="22"/>
      </w:rPr>
    </w:pPr>
    <w:r w:rsidRPr="00FF1BF8">
      <w:rPr>
        <w:rFonts w:ascii="Tms Rmn" w:hAnsi="Tms Rmn"/>
        <w:noProof/>
        <w:color w:val="auto"/>
        <w:sz w:val="32"/>
        <w:szCs w:val="32"/>
        <w:lang w:eastAsia="tr-TR"/>
      </w:rPr>
      <w:drawing>
        <wp:inline distT="0" distB="0" distL="0" distR="0">
          <wp:extent cx="1527175" cy="483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83235"/>
                  </a:xfrm>
                  <a:prstGeom prst="rect">
                    <a:avLst/>
                  </a:prstGeom>
                  <a:noFill/>
                  <a:ln>
                    <a:noFill/>
                  </a:ln>
                </pic:spPr>
              </pic:pic>
            </a:graphicData>
          </a:graphic>
        </wp:inline>
      </w:drawing>
    </w:r>
  </w:p>
  <w:p w:rsidR="008172FF" w:rsidRDefault="008172FF">
    <w:pPr>
      <w:pStyle w:val="Header"/>
    </w:pPr>
    <w:r>
      <w:rPr>
        <w:noProof/>
        <w:sz w:val="20"/>
        <w:lang w:eastAsia="tr-T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142240</wp:posOffset>
              </wp:positionV>
              <wp:extent cx="5829300" cy="0"/>
              <wp:effectExtent l="13335" t="16510" r="1524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D420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" strokecolor="#f9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1D7"/>
    <w:multiLevelType w:val="hybridMultilevel"/>
    <w:tmpl w:val="8CCE4D22"/>
    <w:lvl w:ilvl="0" w:tplc="01E62F2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604E7"/>
    <w:multiLevelType w:val="hybridMultilevel"/>
    <w:tmpl w:val="6002A52A"/>
    <w:lvl w:ilvl="0" w:tplc="01E62F2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84"/>
    <w:rsid w:val="000328C8"/>
    <w:rsid w:val="00037ACC"/>
    <w:rsid w:val="00051E84"/>
    <w:rsid w:val="00064F9B"/>
    <w:rsid w:val="00073B35"/>
    <w:rsid w:val="00076F83"/>
    <w:rsid w:val="00097741"/>
    <w:rsid w:val="000B1C11"/>
    <w:rsid w:val="000B31E1"/>
    <w:rsid w:val="000B7047"/>
    <w:rsid w:val="000B7BA6"/>
    <w:rsid w:val="000C6A46"/>
    <w:rsid w:val="000E53E7"/>
    <w:rsid w:val="00146DD9"/>
    <w:rsid w:val="00151A74"/>
    <w:rsid w:val="001C09E0"/>
    <w:rsid w:val="001C351D"/>
    <w:rsid w:val="001C4395"/>
    <w:rsid w:val="001E6E66"/>
    <w:rsid w:val="001E7CCB"/>
    <w:rsid w:val="00222FF6"/>
    <w:rsid w:val="00234E31"/>
    <w:rsid w:val="002A43C0"/>
    <w:rsid w:val="002B175E"/>
    <w:rsid w:val="002B39AD"/>
    <w:rsid w:val="002C115A"/>
    <w:rsid w:val="002C2B66"/>
    <w:rsid w:val="00301DE2"/>
    <w:rsid w:val="00333373"/>
    <w:rsid w:val="00340A58"/>
    <w:rsid w:val="00371307"/>
    <w:rsid w:val="00386A56"/>
    <w:rsid w:val="003A25F5"/>
    <w:rsid w:val="003A6A74"/>
    <w:rsid w:val="003A7696"/>
    <w:rsid w:val="003C5140"/>
    <w:rsid w:val="003D09B3"/>
    <w:rsid w:val="003D53E8"/>
    <w:rsid w:val="003F28BC"/>
    <w:rsid w:val="00472A34"/>
    <w:rsid w:val="00497198"/>
    <w:rsid w:val="004A6C69"/>
    <w:rsid w:val="004C09DF"/>
    <w:rsid w:val="004C2F90"/>
    <w:rsid w:val="004D2A36"/>
    <w:rsid w:val="004D7787"/>
    <w:rsid w:val="00515197"/>
    <w:rsid w:val="00562F02"/>
    <w:rsid w:val="00565575"/>
    <w:rsid w:val="00567F48"/>
    <w:rsid w:val="00571B27"/>
    <w:rsid w:val="005811F7"/>
    <w:rsid w:val="00627261"/>
    <w:rsid w:val="006456A6"/>
    <w:rsid w:val="006666E6"/>
    <w:rsid w:val="00670BB8"/>
    <w:rsid w:val="0067214B"/>
    <w:rsid w:val="006F376B"/>
    <w:rsid w:val="007473C0"/>
    <w:rsid w:val="00756420"/>
    <w:rsid w:val="007639B5"/>
    <w:rsid w:val="007A3C83"/>
    <w:rsid w:val="007D2024"/>
    <w:rsid w:val="007D6967"/>
    <w:rsid w:val="007F284A"/>
    <w:rsid w:val="00801D6C"/>
    <w:rsid w:val="008172FF"/>
    <w:rsid w:val="00862CAA"/>
    <w:rsid w:val="0087094F"/>
    <w:rsid w:val="00875C44"/>
    <w:rsid w:val="008B54A7"/>
    <w:rsid w:val="008C780F"/>
    <w:rsid w:val="008E1CB7"/>
    <w:rsid w:val="00900568"/>
    <w:rsid w:val="00912084"/>
    <w:rsid w:val="009158E7"/>
    <w:rsid w:val="00916A0D"/>
    <w:rsid w:val="00917536"/>
    <w:rsid w:val="00923FC0"/>
    <w:rsid w:val="00951BB4"/>
    <w:rsid w:val="00970A2D"/>
    <w:rsid w:val="00980494"/>
    <w:rsid w:val="00982729"/>
    <w:rsid w:val="00990AD4"/>
    <w:rsid w:val="0099170B"/>
    <w:rsid w:val="009B7C9A"/>
    <w:rsid w:val="009D7B75"/>
    <w:rsid w:val="009F27E9"/>
    <w:rsid w:val="00A05810"/>
    <w:rsid w:val="00A14E3F"/>
    <w:rsid w:val="00A17FF9"/>
    <w:rsid w:val="00A228FB"/>
    <w:rsid w:val="00A277B0"/>
    <w:rsid w:val="00A4185D"/>
    <w:rsid w:val="00A4187F"/>
    <w:rsid w:val="00AD5C42"/>
    <w:rsid w:val="00AE29B5"/>
    <w:rsid w:val="00B418B1"/>
    <w:rsid w:val="00B42B9B"/>
    <w:rsid w:val="00B5674E"/>
    <w:rsid w:val="00B65A71"/>
    <w:rsid w:val="00B83355"/>
    <w:rsid w:val="00B839A0"/>
    <w:rsid w:val="00B97376"/>
    <w:rsid w:val="00BD677F"/>
    <w:rsid w:val="00BF797D"/>
    <w:rsid w:val="00C10ACF"/>
    <w:rsid w:val="00C13775"/>
    <w:rsid w:val="00C21338"/>
    <w:rsid w:val="00C3570A"/>
    <w:rsid w:val="00C42443"/>
    <w:rsid w:val="00C5405D"/>
    <w:rsid w:val="00CA2772"/>
    <w:rsid w:val="00CD726E"/>
    <w:rsid w:val="00D03DD6"/>
    <w:rsid w:val="00D259B0"/>
    <w:rsid w:val="00D35181"/>
    <w:rsid w:val="00D55492"/>
    <w:rsid w:val="00D5653D"/>
    <w:rsid w:val="00D94912"/>
    <w:rsid w:val="00DA18CF"/>
    <w:rsid w:val="00DA6596"/>
    <w:rsid w:val="00DB4214"/>
    <w:rsid w:val="00DF11C9"/>
    <w:rsid w:val="00DF127F"/>
    <w:rsid w:val="00E07D7B"/>
    <w:rsid w:val="00E16D12"/>
    <w:rsid w:val="00E341D2"/>
    <w:rsid w:val="00E47B25"/>
    <w:rsid w:val="00E64523"/>
    <w:rsid w:val="00E73B0F"/>
    <w:rsid w:val="00EE3B14"/>
    <w:rsid w:val="00EF31E9"/>
    <w:rsid w:val="00F03D8A"/>
    <w:rsid w:val="00F22685"/>
    <w:rsid w:val="00F45D5C"/>
    <w:rsid w:val="00F50AEA"/>
    <w:rsid w:val="00F91CA4"/>
    <w:rsid w:val="00FF2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2C17340"/>
  <w15:chartTrackingRefBased/>
  <w15:docId w15:val="{92A8B603-56D4-4698-B0B1-1D8D0B46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76B"/>
    <w:pPr>
      <w:spacing w:before="120" w:after="120" w:line="240" w:lineRule="auto"/>
    </w:pPr>
    <w:rPr>
      <w:rFonts w:ascii="Cambria" w:eastAsia="Times New Roman" w:hAnsi="Cambria" w:cs="Times New Roman"/>
      <w:color w:val="000000"/>
      <w:szCs w:val="24"/>
    </w:rPr>
  </w:style>
  <w:style w:type="paragraph" w:styleId="Heading1">
    <w:name w:val="heading 1"/>
    <w:basedOn w:val="Normal"/>
    <w:next w:val="Normal"/>
    <w:link w:val="Heading1Char"/>
    <w:qFormat/>
    <w:rsid w:val="006F376B"/>
    <w:pPr>
      <w:keepNext/>
      <w:spacing w:before="360" w:after="360"/>
      <w:outlineLvl w:val="0"/>
    </w:pPr>
    <w:rPr>
      <w:b/>
      <w:bCs/>
      <w:color w:val="4F81BD"/>
      <w:sz w:val="28"/>
    </w:rPr>
  </w:style>
  <w:style w:type="paragraph" w:styleId="Heading3">
    <w:name w:val="heading 3"/>
    <w:basedOn w:val="Normal"/>
    <w:next w:val="Normal"/>
    <w:link w:val="Heading3Char"/>
    <w:qFormat/>
    <w:rsid w:val="006F376B"/>
    <w:pPr>
      <w:keepNext/>
      <w:jc w:val="center"/>
      <w:outlineLvl w:val="2"/>
    </w:pPr>
    <w:rPr>
      <w:rFonts w:ascii="Tahoma" w:hAnsi="Tahoma" w:cs="Tahoma"/>
      <w:b/>
      <w:bCs/>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376B"/>
    <w:pPr>
      <w:tabs>
        <w:tab w:val="center" w:pos="4536"/>
        <w:tab w:val="right" w:pos="9072"/>
      </w:tabs>
      <w:spacing w:after="0"/>
    </w:pPr>
  </w:style>
  <w:style w:type="character" w:customStyle="1" w:styleId="HeaderChar">
    <w:name w:val="Header Char"/>
    <w:basedOn w:val="DefaultParagraphFont"/>
    <w:link w:val="Header"/>
    <w:uiPriority w:val="99"/>
    <w:rsid w:val="006F376B"/>
  </w:style>
  <w:style w:type="paragraph" w:styleId="Footer">
    <w:name w:val="footer"/>
    <w:basedOn w:val="Normal"/>
    <w:link w:val="FooterChar"/>
    <w:unhideWhenUsed/>
    <w:rsid w:val="006F376B"/>
    <w:pPr>
      <w:tabs>
        <w:tab w:val="center" w:pos="4536"/>
        <w:tab w:val="right" w:pos="9072"/>
      </w:tabs>
      <w:spacing w:after="0"/>
    </w:pPr>
  </w:style>
  <w:style w:type="character" w:customStyle="1" w:styleId="FooterChar">
    <w:name w:val="Footer Char"/>
    <w:basedOn w:val="DefaultParagraphFont"/>
    <w:link w:val="Footer"/>
    <w:uiPriority w:val="99"/>
    <w:rsid w:val="006F376B"/>
  </w:style>
  <w:style w:type="character" w:customStyle="1" w:styleId="Heading1Char">
    <w:name w:val="Heading 1 Char"/>
    <w:basedOn w:val="DefaultParagraphFont"/>
    <w:link w:val="Heading1"/>
    <w:rsid w:val="006F376B"/>
    <w:rPr>
      <w:rFonts w:ascii="Cambria" w:eastAsia="Times New Roman" w:hAnsi="Cambria" w:cs="Times New Roman"/>
      <w:b/>
      <w:bCs/>
      <w:color w:val="4F81BD"/>
      <w:sz w:val="28"/>
      <w:szCs w:val="24"/>
    </w:rPr>
  </w:style>
  <w:style w:type="character" w:customStyle="1" w:styleId="Heading3Char">
    <w:name w:val="Heading 3 Char"/>
    <w:basedOn w:val="DefaultParagraphFont"/>
    <w:link w:val="Heading3"/>
    <w:rsid w:val="006F376B"/>
    <w:rPr>
      <w:rFonts w:ascii="Tahoma" w:eastAsia="Times New Roman" w:hAnsi="Tahoma" w:cs="Tahoma"/>
      <w:b/>
      <w:bCs/>
      <w:color w:val="FF0000"/>
      <w:sz w:val="40"/>
      <w:szCs w:val="24"/>
    </w:rPr>
  </w:style>
  <w:style w:type="character" w:styleId="Hyperlink">
    <w:name w:val="Hyperlink"/>
    <w:uiPriority w:val="99"/>
    <w:semiHidden/>
    <w:rsid w:val="006F376B"/>
    <w:rPr>
      <w:color w:val="0000FF"/>
      <w:u w:val="single"/>
    </w:rPr>
  </w:style>
  <w:style w:type="paragraph" w:styleId="NormalWeb">
    <w:name w:val="Normal (Web)"/>
    <w:basedOn w:val="Normal"/>
    <w:semiHidden/>
    <w:rsid w:val="006F376B"/>
    <w:pPr>
      <w:spacing w:before="100" w:beforeAutospacing="1" w:after="100" w:afterAutospacing="1"/>
    </w:pPr>
  </w:style>
  <w:style w:type="paragraph" w:styleId="BodyText">
    <w:name w:val="Body Text"/>
    <w:basedOn w:val="Normal"/>
    <w:link w:val="BodyTextChar"/>
    <w:semiHidden/>
    <w:rsid w:val="006F376B"/>
  </w:style>
  <w:style w:type="character" w:customStyle="1" w:styleId="BodyTextChar">
    <w:name w:val="Body Text Char"/>
    <w:basedOn w:val="DefaultParagraphFont"/>
    <w:link w:val="BodyText"/>
    <w:semiHidden/>
    <w:rsid w:val="006F376B"/>
    <w:rPr>
      <w:rFonts w:ascii="Cambria" w:eastAsia="Times New Roman" w:hAnsi="Cambria" w:cs="Times New Roman"/>
      <w:color w:val="000000"/>
      <w:szCs w:val="24"/>
    </w:rPr>
  </w:style>
  <w:style w:type="character" w:styleId="PageNumber">
    <w:name w:val="page number"/>
    <w:basedOn w:val="DefaultParagraphFont"/>
    <w:semiHidden/>
    <w:rsid w:val="006F376B"/>
  </w:style>
  <w:style w:type="paragraph" w:customStyle="1" w:styleId="Style1">
    <w:name w:val="Style1"/>
    <w:basedOn w:val="TOAHeading"/>
    <w:qFormat/>
    <w:rsid w:val="006F376B"/>
    <w:pPr>
      <w:pBdr>
        <w:bottom w:val="thinThickSmallGap" w:sz="12" w:space="1" w:color="1F497D"/>
      </w:pBdr>
    </w:pPr>
    <w:rPr>
      <w:rFonts w:ascii="Cambria" w:eastAsia="Times New Roman" w:hAnsi="Cambria" w:cs="Tahoma"/>
      <w:color w:val="333399"/>
      <w:sz w:val="36"/>
      <w:szCs w:val="36"/>
    </w:rPr>
  </w:style>
  <w:style w:type="paragraph" w:customStyle="1" w:styleId="anayaz">
    <w:name w:val="ana yazı"/>
    <w:basedOn w:val="NormalWeb"/>
    <w:qFormat/>
    <w:rsid w:val="006F376B"/>
    <w:pPr>
      <w:spacing w:before="120" w:beforeAutospacing="0" w:after="120" w:afterAutospacing="0"/>
      <w:jc w:val="both"/>
    </w:pPr>
    <w:rPr>
      <w:color w:val="auto"/>
    </w:rPr>
  </w:style>
  <w:style w:type="paragraph" w:styleId="TOAHeading">
    <w:name w:val="toa heading"/>
    <w:basedOn w:val="Normal"/>
    <w:next w:val="Normal"/>
    <w:uiPriority w:val="99"/>
    <w:semiHidden/>
    <w:unhideWhenUsed/>
    <w:rsid w:val="006F376B"/>
    <w:rPr>
      <w:rFonts w:asciiTheme="majorHAnsi" w:eastAsiaTheme="majorEastAsia" w:hAnsiTheme="majorHAnsi" w:cstheme="majorBidi"/>
      <w:b/>
      <w:bCs/>
      <w:sz w:val="24"/>
    </w:rPr>
  </w:style>
  <w:style w:type="character" w:styleId="CommentReference">
    <w:name w:val="annotation reference"/>
    <w:basedOn w:val="DefaultParagraphFont"/>
    <w:uiPriority w:val="99"/>
    <w:semiHidden/>
    <w:unhideWhenUsed/>
    <w:rsid w:val="008C780F"/>
    <w:rPr>
      <w:sz w:val="16"/>
      <w:szCs w:val="16"/>
    </w:rPr>
  </w:style>
  <w:style w:type="paragraph" w:styleId="CommentText">
    <w:name w:val="annotation text"/>
    <w:basedOn w:val="Normal"/>
    <w:link w:val="CommentTextChar"/>
    <w:uiPriority w:val="99"/>
    <w:semiHidden/>
    <w:unhideWhenUsed/>
    <w:rsid w:val="008C780F"/>
    <w:pPr>
      <w:spacing w:before="0" w:after="0"/>
    </w:pPr>
    <w:rPr>
      <w:sz w:val="20"/>
      <w:szCs w:val="20"/>
    </w:rPr>
  </w:style>
  <w:style w:type="character" w:customStyle="1" w:styleId="CommentTextChar">
    <w:name w:val="Comment Text Char"/>
    <w:basedOn w:val="DefaultParagraphFont"/>
    <w:link w:val="CommentText"/>
    <w:uiPriority w:val="99"/>
    <w:semiHidden/>
    <w:rsid w:val="008C780F"/>
    <w:rPr>
      <w:rFonts w:ascii="Cambria" w:eastAsia="Times New Roman" w:hAnsi="Cambria" w:cs="Times New Roman"/>
      <w:color w:val="000000"/>
      <w:sz w:val="20"/>
      <w:szCs w:val="20"/>
    </w:rPr>
  </w:style>
  <w:style w:type="paragraph" w:styleId="BalloonText">
    <w:name w:val="Balloon Text"/>
    <w:basedOn w:val="Normal"/>
    <w:link w:val="BalloonTextChar"/>
    <w:uiPriority w:val="99"/>
    <w:semiHidden/>
    <w:unhideWhenUsed/>
    <w:rsid w:val="008C780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80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0344">
      <w:bodyDiv w:val="1"/>
      <w:marLeft w:val="0"/>
      <w:marRight w:val="0"/>
      <w:marTop w:val="0"/>
      <w:marBottom w:val="0"/>
      <w:divBdr>
        <w:top w:val="none" w:sz="0" w:space="0" w:color="auto"/>
        <w:left w:val="none" w:sz="0" w:space="0" w:color="auto"/>
        <w:bottom w:val="none" w:sz="0" w:space="0" w:color="auto"/>
        <w:right w:val="none" w:sz="0" w:space="0" w:color="auto"/>
      </w:divBdr>
    </w:div>
    <w:div w:id="1149517598">
      <w:bodyDiv w:val="1"/>
      <w:marLeft w:val="0"/>
      <w:marRight w:val="0"/>
      <w:marTop w:val="0"/>
      <w:marBottom w:val="0"/>
      <w:divBdr>
        <w:top w:val="none" w:sz="0" w:space="0" w:color="auto"/>
        <w:left w:val="none" w:sz="0" w:space="0" w:color="auto"/>
        <w:bottom w:val="none" w:sz="0" w:space="0" w:color="auto"/>
        <w:right w:val="none" w:sz="0" w:space="0" w:color="auto"/>
      </w:divBdr>
    </w:div>
    <w:div w:id="1175723477">
      <w:bodyDiv w:val="1"/>
      <w:marLeft w:val="0"/>
      <w:marRight w:val="0"/>
      <w:marTop w:val="0"/>
      <w:marBottom w:val="0"/>
      <w:divBdr>
        <w:top w:val="none" w:sz="0" w:space="0" w:color="auto"/>
        <w:left w:val="none" w:sz="0" w:space="0" w:color="auto"/>
        <w:bottom w:val="none" w:sz="0" w:space="0" w:color="auto"/>
        <w:right w:val="none" w:sz="0" w:space="0" w:color="auto"/>
      </w:divBdr>
    </w:div>
    <w:div w:id="1543713055">
      <w:bodyDiv w:val="1"/>
      <w:marLeft w:val="0"/>
      <w:marRight w:val="0"/>
      <w:marTop w:val="0"/>
      <w:marBottom w:val="0"/>
      <w:divBdr>
        <w:top w:val="none" w:sz="0" w:space="0" w:color="auto"/>
        <w:left w:val="none" w:sz="0" w:space="0" w:color="auto"/>
        <w:bottom w:val="none" w:sz="0" w:space="0" w:color="auto"/>
        <w:right w:val="none" w:sz="0" w:space="0" w:color="auto"/>
      </w:divBdr>
    </w:div>
    <w:div w:id="1662781280">
      <w:bodyDiv w:val="1"/>
      <w:marLeft w:val="0"/>
      <w:marRight w:val="0"/>
      <w:marTop w:val="0"/>
      <w:marBottom w:val="0"/>
      <w:divBdr>
        <w:top w:val="none" w:sz="0" w:space="0" w:color="auto"/>
        <w:left w:val="none" w:sz="0" w:space="0" w:color="auto"/>
        <w:bottom w:val="none" w:sz="0" w:space="0" w:color="auto"/>
        <w:right w:val="none" w:sz="0" w:space="0" w:color="auto"/>
      </w:divBdr>
    </w:div>
    <w:div w:id="1729955258">
      <w:bodyDiv w:val="1"/>
      <w:marLeft w:val="0"/>
      <w:marRight w:val="0"/>
      <w:marTop w:val="0"/>
      <w:marBottom w:val="0"/>
      <w:divBdr>
        <w:top w:val="none" w:sz="0" w:space="0" w:color="auto"/>
        <w:left w:val="none" w:sz="0" w:space="0" w:color="auto"/>
        <w:bottom w:val="none" w:sz="0" w:space="0" w:color="auto"/>
        <w:right w:val="none" w:sz="0" w:space="0" w:color="auto"/>
      </w:divBdr>
    </w:div>
    <w:div w:id="1804347998">
      <w:bodyDiv w:val="1"/>
      <w:marLeft w:val="0"/>
      <w:marRight w:val="0"/>
      <w:marTop w:val="0"/>
      <w:marBottom w:val="0"/>
      <w:divBdr>
        <w:top w:val="none" w:sz="0" w:space="0" w:color="auto"/>
        <w:left w:val="none" w:sz="0" w:space="0" w:color="auto"/>
        <w:bottom w:val="none" w:sz="0" w:space="0" w:color="auto"/>
        <w:right w:val="none" w:sz="0" w:space="0" w:color="auto"/>
      </w:divBdr>
    </w:div>
    <w:div w:id="19562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bc.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icbc.com.t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da350c-f623-46cd-97b7-a406c093975d" origin="defaultVal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7176-5AC3-47B3-9D16-CFB6B6B5068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982B1ED-E046-42F3-93A5-478E5D37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7</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 ARSLAN</dc:creator>
  <cp:keywords/>
  <dc:description/>
  <cp:lastModifiedBy>HUSEYIN DUMAN</cp:lastModifiedBy>
  <cp:revision>128</cp:revision>
  <cp:lastPrinted>2022-04-27T14:42:00Z</cp:lastPrinted>
  <dcterms:created xsi:type="dcterms:W3CDTF">2020-08-07T12:43:00Z</dcterms:created>
  <dcterms:modified xsi:type="dcterms:W3CDTF">2023-11-07T14:32:00Z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ef93792b-0278-4e69-b53d-c93f0a447c8a</vt:lpwstr>
  </property>
  <property fmtid="{D5CDD505-2E9C-101B-9397-08002B2CF9AE}" pid="3" name="bjSaver">
    <vt:lpwstr>D0Qr0tOP59xecBu/Itdq5PD4af755wfg</vt:lpwstr>
  </property>
  <property fmtid="{D5CDD505-2E9C-101B-9397-08002B2CF9AE}" pid="4" name="bjDocumentSecurityLabel">
    <vt:lpwstr>This item has no classification</vt:lpwstr>
  </property>
</Properties>
</file>